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E64" w:rsidRPr="001E299A" w:rsidRDefault="00A673E5">
      <w:pPr>
        <w:rPr>
          <w:rFonts w:ascii="Times New Roman" w:hAnsi="Times New Roman" w:cs="Times New Roman"/>
        </w:rPr>
      </w:pPr>
      <w:r w:rsidRPr="001E299A">
        <w:rPr>
          <w:rFonts w:ascii="Times New Roman" w:hAnsi="Times New Roman" w:cs="Times New Roman"/>
        </w:rPr>
        <w:t>Korekcija cenika dimnikarskih storitev</w:t>
      </w:r>
    </w:p>
    <w:p w:rsidR="002A739A" w:rsidRDefault="002A739A" w:rsidP="00C26474">
      <w:pPr>
        <w:spacing w:after="40"/>
        <w:rPr>
          <w:rFonts w:ascii="Times New Roman" w:hAnsi="Times New Roman" w:cs="Times New Roman"/>
        </w:rPr>
      </w:pPr>
      <w:r>
        <w:rPr>
          <w:rFonts w:ascii="Times New Roman" w:hAnsi="Times New Roman" w:cs="Times New Roman"/>
        </w:rPr>
        <w:t>Mogoče je problem, prikazan v nadaljevanju nekoliko dogočasen, a vendar predlagam, da ga tako morebitni bralci kot tudi vlada le pregledajo in si ustvarijo svoje mnenje.</w:t>
      </w:r>
    </w:p>
    <w:p w:rsidR="00C26474" w:rsidRPr="001E299A" w:rsidRDefault="00C26474" w:rsidP="00C26474">
      <w:pPr>
        <w:spacing w:after="40"/>
        <w:rPr>
          <w:rFonts w:ascii="Times New Roman" w:hAnsi="Times New Roman" w:cs="Times New Roman"/>
          <w:b/>
        </w:rPr>
      </w:pPr>
      <w:r w:rsidRPr="001E299A">
        <w:rPr>
          <w:rFonts w:ascii="Times New Roman" w:hAnsi="Times New Roman" w:cs="Times New Roman"/>
        </w:rPr>
        <w:t>Zakon o dimnikarskih storitvah (Ur.l.RS</w:t>
      </w:r>
      <w:r w:rsidR="00E40EAE" w:rsidRPr="001E299A">
        <w:rPr>
          <w:rFonts w:ascii="Times New Roman" w:hAnsi="Times New Roman" w:cs="Times New Roman"/>
        </w:rPr>
        <w:t xml:space="preserve"> št.:68/16) v 2. o</w:t>
      </w:r>
      <w:r w:rsidRPr="001E299A">
        <w:rPr>
          <w:rFonts w:ascii="Times New Roman" w:hAnsi="Times New Roman" w:cs="Times New Roman"/>
        </w:rPr>
        <w:t xml:space="preserve">dstavku  19. člena določa, da se znesek izvedene dimnikarske storitve oblikuje </w:t>
      </w:r>
      <w:r w:rsidRPr="001E299A">
        <w:rPr>
          <w:rFonts w:ascii="Times New Roman" w:hAnsi="Times New Roman" w:cs="Times New Roman"/>
          <w:b/>
        </w:rPr>
        <w:t>kot zmnožek cene izvajanja dimnikarskih storitev</w:t>
      </w:r>
      <w:r w:rsidRPr="001E299A">
        <w:rPr>
          <w:rFonts w:ascii="Times New Roman" w:hAnsi="Times New Roman" w:cs="Times New Roman"/>
        </w:rPr>
        <w:t xml:space="preserve"> in </w:t>
      </w:r>
      <w:r w:rsidRPr="001E299A">
        <w:rPr>
          <w:rFonts w:ascii="Times New Roman" w:hAnsi="Times New Roman" w:cs="Times New Roman"/>
          <w:b/>
        </w:rPr>
        <w:t>normativnega števila časovnih enot dela dimnikarskih storitev</w:t>
      </w:r>
      <w:r w:rsidRPr="001E299A">
        <w:rPr>
          <w:rFonts w:ascii="Times New Roman" w:hAnsi="Times New Roman" w:cs="Times New Roman"/>
        </w:rPr>
        <w:t xml:space="preserve"> </w:t>
      </w:r>
      <w:r w:rsidR="00E40EAE" w:rsidRPr="001E299A">
        <w:rPr>
          <w:rFonts w:ascii="Times New Roman" w:hAnsi="Times New Roman" w:cs="Times New Roman"/>
        </w:rPr>
        <w:t xml:space="preserve">ter </w:t>
      </w:r>
      <w:r w:rsidRPr="001E299A">
        <w:rPr>
          <w:rFonts w:ascii="Times New Roman" w:hAnsi="Times New Roman" w:cs="Times New Roman"/>
        </w:rPr>
        <w:t xml:space="preserve"> v 4. </w:t>
      </w:r>
      <w:r w:rsidR="00E40EAE" w:rsidRPr="001E299A">
        <w:rPr>
          <w:rFonts w:ascii="Times New Roman" w:hAnsi="Times New Roman" w:cs="Times New Roman"/>
        </w:rPr>
        <w:t>odstavku</w:t>
      </w:r>
      <w:r w:rsidRPr="001E299A">
        <w:rPr>
          <w:rFonts w:ascii="Times New Roman" w:hAnsi="Times New Roman" w:cs="Times New Roman"/>
        </w:rPr>
        <w:t xml:space="preserve"> istega člena, </w:t>
      </w:r>
      <w:r w:rsidRPr="001E299A">
        <w:rPr>
          <w:rFonts w:ascii="Times New Roman" w:hAnsi="Times New Roman" w:cs="Times New Roman"/>
          <w:b/>
        </w:rPr>
        <w:t>da se cena iz drugega odstavka tega člena določi v eurih na časovno enoto dela.</w:t>
      </w:r>
    </w:p>
    <w:p w:rsidR="00C26474" w:rsidRPr="001E299A" w:rsidRDefault="00C26474" w:rsidP="00C26474">
      <w:pPr>
        <w:spacing w:after="40"/>
        <w:rPr>
          <w:rFonts w:ascii="Times New Roman" w:hAnsi="Times New Roman" w:cs="Times New Roman"/>
        </w:rPr>
      </w:pPr>
      <w:r w:rsidRPr="001E299A">
        <w:rPr>
          <w:rFonts w:ascii="Times New Roman" w:hAnsi="Times New Roman" w:cs="Times New Roman"/>
        </w:rPr>
        <w:t>Iz 3. odstavka istega člena je tudi razumeti, da so v teh cenah po enoti upoštevani</w:t>
      </w:r>
      <w:r w:rsidR="00E40EAE" w:rsidRPr="001E299A">
        <w:rPr>
          <w:rFonts w:ascii="Times New Roman" w:hAnsi="Times New Roman" w:cs="Times New Roman"/>
        </w:rPr>
        <w:t xml:space="preserve">  (poleg standardnih režijskih stroškov)</w:t>
      </w:r>
      <w:r w:rsidRPr="001E299A">
        <w:rPr>
          <w:rFonts w:ascii="Times New Roman" w:hAnsi="Times New Roman" w:cs="Times New Roman"/>
        </w:rPr>
        <w:t xml:space="preserve"> tudi potni stroški od sedeža dimnikarske službe do uporabnika dimnikarske službe, če ta oddaljenost ni večja od 25 km.</w:t>
      </w:r>
    </w:p>
    <w:p w:rsidR="00C26474" w:rsidRPr="001E299A" w:rsidRDefault="00C26474" w:rsidP="00C26474">
      <w:pPr>
        <w:spacing w:after="40"/>
        <w:rPr>
          <w:rFonts w:ascii="Times New Roman" w:hAnsi="Times New Roman" w:cs="Times New Roman"/>
          <w:i/>
        </w:rPr>
      </w:pPr>
      <w:r w:rsidRPr="001E299A">
        <w:rPr>
          <w:rFonts w:ascii="Times New Roman" w:hAnsi="Times New Roman" w:cs="Times New Roman"/>
        </w:rPr>
        <w:t>(</w:t>
      </w:r>
      <w:r w:rsidR="00811682" w:rsidRPr="001E299A">
        <w:rPr>
          <w:rFonts w:ascii="Times New Roman" w:hAnsi="Times New Roman" w:cs="Times New Roman"/>
          <w:i/>
        </w:rPr>
        <w:t xml:space="preserve"> Z</w:t>
      </w:r>
      <w:r w:rsidRPr="001E299A">
        <w:rPr>
          <w:rFonts w:ascii="Times New Roman" w:hAnsi="Times New Roman" w:cs="Times New Roman"/>
          <w:i/>
        </w:rPr>
        <w:t xml:space="preserve">animivo, da </w:t>
      </w:r>
      <w:r w:rsidR="0044335E" w:rsidRPr="001E299A">
        <w:rPr>
          <w:rFonts w:ascii="Times New Roman" w:hAnsi="Times New Roman" w:cs="Times New Roman"/>
          <w:i/>
        </w:rPr>
        <w:t>ni nikjer upoštevan »neproduktivni« del delovnega časa oz. 30 minut, predvidenega za malico v delovnem času 8 ur, ampak, to je verjetno stvar sindikatov.)</w:t>
      </w:r>
      <w:r w:rsidRPr="001E299A">
        <w:rPr>
          <w:rFonts w:ascii="Times New Roman" w:hAnsi="Times New Roman" w:cs="Times New Roman"/>
          <w:i/>
        </w:rPr>
        <w:t xml:space="preserve"> </w:t>
      </w:r>
    </w:p>
    <w:p w:rsidR="00C26474" w:rsidRPr="001E299A" w:rsidRDefault="0044335E" w:rsidP="00C26474">
      <w:pPr>
        <w:spacing w:after="40"/>
        <w:rPr>
          <w:rFonts w:ascii="Times New Roman" w:hAnsi="Times New Roman" w:cs="Times New Roman"/>
        </w:rPr>
      </w:pPr>
      <w:r w:rsidRPr="001E299A">
        <w:rPr>
          <w:rFonts w:ascii="Times New Roman" w:hAnsi="Times New Roman" w:cs="Times New Roman"/>
        </w:rPr>
        <w:t>Pri tem pa naletimo na anomalijo, ki je za izvajalca sicer zelo sprejemljiva, za naročnika pa skrajno nesprejemljiva, bolje rečeno nedopustna in v nasprotju s pozitivnimi zakoni in predpisi.</w:t>
      </w:r>
    </w:p>
    <w:p w:rsidR="0044335E" w:rsidRPr="001E299A" w:rsidRDefault="0044335E" w:rsidP="00C26474">
      <w:pPr>
        <w:spacing w:after="40"/>
        <w:rPr>
          <w:rFonts w:ascii="Times New Roman" w:hAnsi="Times New Roman" w:cs="Times New Roman"/>
        </w:rPr>
      </w:pPr>
      <w:r w:rsidRPr="001E299A">
        <w:rPr>
          <w:rFonts w:ascii="Times New Roman" w:hAnsi="Times New Roman" w:cs="Times New Roman"/>
        </w:rPr>
        <w:t>Stanujem v večstanovanjske objektu s  55 stanovanjskimi enotami.</w:t>
      </w:r>
    </w:p>
    <w:p w:rsidR="00811682" w:rsidRPr="001E299A" w:rsidRDefault="00811682" w:rsidP="00C26474">
      <w:pPr>
        <w:spacing w:after="40"/>
        <w:rPr>
          <w:rFonts w:ascii="Times New Roman" w:hAnsi="Times New Roman" w:cs="Times New Roman"/>
        </w:rPr>
      </w:pPr>
      <w:r w:rsidRPr="001E299A">
        <w:rPr>
          <w:rFonts w:ascii="Times New Roman" w:hAnsi="Times New Roman" w:cs="Times New Roman"/>
        </w:rPr>
        <w:t>V letu 2015 je dimnikarsko podjetje na tem objektu izstavilo račun z naslednjo vsebino</w:t>
      </w:r>
      <w:r w:rsidR="002A739A">
        <w:rPr>
          <w:rFonts w:ascii="Times New Roman" w:hAnsi="Times New Roman" w:cs="Times New Roman"/>
        </w:rPr>
        <w:t>:</w:t>
      </w:r>
    </w:p>
    <w:tbl>
      <w:tblPr>
        <w:tblStyle w:val="Tabela-mrea"/>
        <w:tblW w:w="9322" w:type="dxa"/>
        <w:tblLayout w:type="fixed"/>
        <w:tblLook w:val="04A0"/>
      </w:tblPr>
      <w:tblGrid>
        <w:gridCol w:w="817"/>
        <w:gridCol w:w="3827"/>
        <w:gridCol w:w="993"/>
        <w:gridCol w:w="992"/>
        <w:gridCol w:w="1134"/>
        <w:gridCol w:w="1559"/>
      </w:tblGrid>
      <w:tr w:rsidR="008076FF" w:rsidRPr="001E299A" w:rsidTr="008076FF">
        <w:tc>
          <w:tcPr>
            <w:tcW w:w="817" w:type="dxa"/>
          </w:tcPr>
          <w:p w:rsidR="008076FF" w:rsidRPr="001E299A" w:rsidRDefault="008076FF" w:rsidP="00C26474">
            <w:pPr>
              <w:spacing w:after="40"/>
              <w:rPr>
                <w:rFonts w:ascii="Times New Roman" w:hAnsi="Times New Roman" w:cs="Times New Roman"/>
              </w:rPr>
            </w:pPr>
            <w:r w:rsidRPr="001E299A">
              <w:rPr>
                <w:rFonts w:ascii="Times New Roman" w:hAnsi="Times New Roman" w:cs="Times New Roman"/>
              </w:rPr>
              <w:t>Šifra</w:t>
            </w:r>
          </w:p>
        </w:tc>
        <w:tc>
          <w:tcPr>
            <w:tcW w:w="3827" w:type="dxa"/>
          </w:tcPr>
          <w:p w:rsidR="008076FF" w:rsidRPr="001E299A" w:rsidRDefault="008076FF" w:rsidP="00C26474">
            <w:pPr>
              <w:spacing w:after="40"/>
              <w:rPr>
                <w:rFonts w:ascii="Times New Roman" w:hAnsi="Times New Roman" w:cs="Times New Roman"/>
              </w:rPr>
            </w:pPr>
            <w:r w:rsidRPr="001E299A">
              <w:rPr>
                <w:rFonts w:ascii="Times New Roman" w:hAnsi="Times New Roman" w:cs="Times New Roman"/>
              </w:rPr>
              <w:t>Naziv</w:t>
            </w:r>
          </w:p>
        </w:tc>
        <w:tc>
          <w:tcPr>
            <w:tcW w:w="993" w:type="dxa"/>
          </w:tcPr>
          <w:p w:rsidR="008076FF" w:rsidRPr="001E299A" w:rsidRDefault="008076FF" w:rsidP="00C26474">
            <w:pPr>
              <w:spacing w:after="40"/>
              <w:rPr>
                <w:rFonts w:ascii="Times New Roman" w:hAnsi="Times New Roman" w:cs="Times New Roman"/>
              </w:rPr>
            </w:pPr>
            <w:r w:rsidRPr="001E299A">
              <w:rPr>
                <w:rFonts w:ascii="Times New Roman" w:hAnsi="Times New Roman" w:cs="Times New Roman"/>
              </w:rPr>
              <w:t>Količina</w:t>
            </w:r>
          </w:p>
        </w:tc>
        <w:tc>
          <w:tcPr>
            <w:tcW w:w="992" w:type="dxa"/>
          </w:tcPr>
          <w:p w:rsidR="008076FF" w:rsidRPr="001E299A" w:rsidRDefault="008076FF" w:rsidP="00C26474">
            <w:pPr>
              <w:spacing w:after="40"/>
              <w:rPr>
                <w:rFonts w:ascii="Times New Roman" w:hAnsi="Times New Roman" w:cs="Times New Roman"/>
              </w:rPr>
            </w:pPr>
            <w:r w:rsidRPr="001E299A">
              <w:rPr>
                <w:rFonts w:ascii="Times New Roman" w:hAnsi="Times New Roman" w:cs="Times New Roman"/>
              </w:rPr>
              <w:t>Enota</w:t>
            </w:r>
          </w:p>
        </w:tc>
        <w:tc>
          <w:tcPr>
            <w:tcW w:w="1134" w:type="dxa"/>
          </w:tcPr>
          <w:p w:rsidR="008076FF" w:rsidRPr="001E299A" w:rsidRDefault="008076FF" w:rsidP="00C26474">
            <w:pPr>
              <w:spacing w:after="40"/>
              <w:rPr>
                <w:rFonts w:ascii="Times New Roman" w:hAnsi="Times New Roman" w:cs="Times New Roman"/>
              </w:rPr>
            </w:pPr>
            <w:r w:rsidRPr="001E299A">
              <w:rPr>
                <w:rFonts w:ascii="Times New Roman" w:hAnsi="Times New Roman" w:cs="Times New Roman"/>
              </w:rPr>
              <w:t>Cena/E</w:t>
            </w:r>
          </w:p>
        </w:tc>
        <w:tc>
          <w:tcPr>
            <w:tcW w:w="1559" w:type="dxa"/>
          </w:tcPr>
          <w:p w:rsidR="008076FF" w:rsidRPr="001E299A" w:rsidRDefault="008076FF" w:rsidP="00C26474">
            <w:pPr>
              <w:spacing w:after="40"/>
              <w:rPr>
                <w:rFonts w:ascii="Times New Roman" w:hAnsi="Times New Roman" w:cs="Times New Roman"/>
              </w:rPr>
            </w:pPr>
            <w:r w:rsidRPr="001E299A">
              <w:rPr>
                <w:rFonts w:ascii="Times New Roman" w:hAnsi="Times New Roman" w:cs="Times New Roman"/>
              </w:rPr>
              <w:t>Vrednost €</w:t>
            </w:r>
          </w:p>
        </w:tc>
      </w:tr>
      <w:tr w:rsidR="008076FF" w:rsidRPr="001E299A" w:rsidTr="008076FF">
        <w:tc>
          <w:tcPr>
            <w:tcW w:w="817" w:type="dxa"/>
          </w:tcPr>
          <w:p w:rsidR="008076FF" w:rsidRPr="001E299A" w:rsidRDefault="008076FF" w:rsidP="00C26474">
            <w:pPr>
              <w:spacing w:after="40"/>
              <w:rPr>
                <w:rFonts w:ascii="Times New Roman" w:hAnsi="Times New Roman" w:cs="Times New Roman"/>
              </w:rPr>
            </w:pPr>
            <w:r w:rsidRPr="001E299A">
              <w:rPr>
                <w:rFonts w:ascii="Times New Roman" w:hAnsi="Times New Roman" w:cs="Times New Roman"/>
              </w:rPr>
              <w:t>1.27</w:t>
            </w:r>
          </w:p>
        </w:tc>
        <w:tc>
          <w:tcPr>
            <w:tcW w:w="3827" w:type="dxa"/>
          </w:tcPr>
          <w:p w:rsidR="008076FF" w:rsidRPr="001E299A" w:rsidRDefault="008076FF" w:rsidP="00C26474">
            <w:pPr>
              <w:spacing w:after="40"/>
              <w:rPr>
                <w:rFonts w:ascii="Times New Roman" w:hAnsi="Times New Roman" w:cs="Times New Roman"/>
              </w:rPr>
            </w:pPr>
            <w:r w:rsidRPr="001E299A">
              <w:rPr>
                <w:rFonts w:ascii="Times New Roman" w:hAnsi="Times New Roman" w:cs="Times New Roman"/>
              </w:rPr>
              <w:t>Mehansko čiščenje</w:t>
            </w:r>
          </w:p>
          <w:p w:rsidR="008076FF" w:rsidRPr="001E299A" w:rsidRDefault="008076FF" w:rsidP="00C26474">
            <w:pPr>
              <w:spacing w:after="40"/>
              <w:rPr>
                <w:rFonts w:ascii="Times New Roman" w:hAnsi="Times New Roman" w:cs="Times New Roman"/>
              </w:rPr>
            </w:pPr>
            <w:r w:rsidRPr="001E299A">
              <w:rPr>
                <w:rFonts w:ascii="Times New Roman" w:hAnsi="Times New Roman" w:cs="Times New Roman"/>
              </w:rPr>
              <w:t>zračnik, vertikalni del</w:t>
            </w:r>
          </w:p>
        </w:tc>
        <w:tc>
          <w:tcPr>
            <w:tcW w:w="993" w:type="dxa"/>
          </w:tcPr>
          <w:p w:rsidR="008076FF" w:rsidRPr="001E299A" w:rsidRDefault="008076FF" w:rsidP="00C26474">
            <w:pPr>
              <w:spacing w:after="40"/>
              <w:rPr>
                <w:rFonts w:ascii="Times New Roman" w:hAnsi="Times New Roman" w:cs="Times New Roman"/>
              </w:rPr>
            </w:pPr>
            <w:r w:rsidRPr="001E299A">
              <w:rPr>
                <w:rFonts w:ascii="Times New Roman" w:hAnsi="Times New Roman" w:cs="Times New Roman"/>
              </w:rPr>
              <w:t>45,00</w:t>
            </w:r>
          </w:p>
        </w:tc>
        <w:tc>
          <w:tcPr>
            <w:tcW w:w="992" w:type="dxa"/>
          </w:tcPr>
          <w:p w:rsidR="008076FF" w:rsidRPr="001E299A" w:rsidRDefault="008076FF" w:rsidP="00C26474">
            <w:pPr>
              <w:spacing w:after="40"/>
              <w:rPr>
                <w:rFonts w:ascii="Times New Roman" w:hAnsi="Times New Roman" w:cs="Times New Roman"/>
              </w:rPr>
            </w:pPr>
            <w:r w:rsidRPr="001E299A">
              <w:rPr>
                <w:rFonts w:ascii="Times New Roman" w:hAnsi="Times New Roman" w:cs="Times New Roman"/>
              </w:rPr>
              <w:t>Tuljava</w:t>
            </w:r>
          </w:p>
        </w:tc>
        <w:tc>
          <w:tcPr>
            <w:tcW w:w="1134" w:type="dxa"/>
          </w:tcPr>
          <w:p w:rsidR="008076FF" w:rsidRPr="001E299A" w:rsidRDefault="008076FF" w:rsidP="008076FF">
            <w:pPr>
              <w:spacing w:after="40"/>
              <w:jc w:val="center"/>
              <w:rPr>
                <w:rFonts w:ascii="Times New Roman" w:hAnsi="Times New Roman" w:cs="Times New Roman"/>
              </w:rPr>
            </w:pPr>
            <w:r w:rsidRPr="001E299A">
              <w:rPr>
                <w:rFonts w:ascii="Times New Roman" w:hAnsi="Times New Roman" w:cs="Times New Roman"/>
              </w:rPr>
              <w:t>4,30</w:t>
            </w:r>
          </w:p>
        </w:tc>
        <w:tc>
          <w:tcPr>
            <w:tcW w:w="1559" w:type="dxa"/>
          </w:tcPr>
          <w:p w:rsidR="008076FF" w:rsidRPr="001E299A" w:rsidRDefault="008076FF" w:rsidP="008076FF">
            <w:pPr>
              <w:spacing w:after="40"/>
              <w:jc w:val="right"/>
              <w:rPr>
                <w:rFonts w:ascii="Times New Roman" w:hAnsi="Times New Roman" w:cs="Times New Roman"/>
              </w:rPr>
            </w:pPr>
            <w:r w:rsidRPr="001E299A">
              <w:rPr>
                <w:rFonts w:ascii="Times New Roman" w:hAnsi="Times New Roman" w:cs="Times New Roman"/>
              </w:rPr>
              <w:t>193,50</w:t>
            </w:r>
          </w:p>
        </w:tc>
      </w:tr>
      <w:tr w:rsidR="008076FF" w:rsidRPr="001E299A" w:rsidTr="008076FF">
        <w:tc>
          <w:tcPr>
            <w:tcW w:w="817" w:type="dxa"/>
          </w:tcPr>
          <w:p w:rsidR="008076FF" w:rsidRPr="001E299A" w:rsidRDefault="008076FF" w:rsidP="00C26474">
            <w:pPr>
              <w:spacing w:after="40"/>
              <w:rPr>
                <w:rFonts w:ascii="Times New Roman" w:hAnsi="Times New Roman" w:cs="Times New Roman"/>
              </w:rPr>
            </w:pPr>
            <w:r w:rsidRPr="001E299A">
              <w:rPr>
                <w:rFonts w:ascii="Times New Roman" w:hAnsi="Times New Roman" w:cs="Times New Roman"/>
              </w:rPr>
              <w:t>2.16</w:t>
            </w:r>
          </w:p>
        </w:tc>
        <w:tc>
          <w:tcPr>
            <w:tcW w:w="3827" w:type="dxa"/>
          </w:tcPr>
          <w:p w:rsidR="008076FF" w:rsidRPr="001E299A" w:rsidRDefault="008076FF" w:rsidP="00C26474">
            <w:pPr>
              <w:spacing w:after="40"/>
              <w:rPr>
                <w:rFonts w:ascii="Times New Roman" w:hAnsi="Times New Roman" w:cs="Times New Roman"/>
              </w:rPr>
            </w:pPr>
            <w:r w:rsidRPr="001E299A">
              <w:rPr>
                <w:rFonts w:ascii="Times New Roman" w:hAnsi="Times New Roman" w:cs="Times New Roman"/>
              </w:rPr>
              <w:t>Letni pregled</w:t>
            </w:r>
          </w:p>
          <w:p w:rsidR="008076FF" w:rsidRPr="001E299A" w:rsidRDefault="008076FF" w:rsidP="00C26474">
            <w:pPr>
              <w:spacing w:after="40"/>
              <w:rPr>
                <w:rFonts w:ascii="Times New Roman" w:hAnsi="Times New Roman" w:cs="Times New Roman"/>
              </w:rPr>
            </w:pPr>
            <w:r w:rsidRPr="001E299A">
              <w:rPr>
                <w:rFonts w:ascii="Times New Roman" w:hAnsi="Times New Roman" w:cs="Times New Roman"/>
              </w:rPr>
              <w:t>zračnik tuljava,vertikalni del</w:t>
            </w:r>
          </w:p>
        </w:tc>
        <w:tc>
          <w:tcPr>
            <w:tcW w:w="993" w:type="dxa"/>
          </w:tcPr>
          <w:p w:rsidR="008076FF" w:rsidRPr="001E299A" w:rsidRDefault="008076FF" w:rsidP="00C26474">
            <w:pPr>
              <w:spacing w:after="40"/>
              <w:rPr>
                <w:rFonts w:ascii="Times New Roman" w:hAnsi="Times New Roman" w:cs="Times New Roman"/>
              </w:rPr>
            </w:pPr>
            <w:r w:rsidRPr="001E299A">
              <w:rPr>
                <w:rFonts w:ascii="Times New Roman" w:hAnsi="Times New Roman" w:cs="Times New Roman"/>
              </w:rPr>
              <w:t>127,00</w:t>
            </w:r>
          </w:p>
        </w:tc>
        <w:tc>
          <w:tcPr>
            <w:tcW w:w="992" w:type="dxa"/>
          </w:tcPr>
          <w:p w:rsidR="008076FF" w:rsidRPr="001E299A" w:rsidRDefault="008076FF" w:rsidP="00C26474">
            <w:pPr>
              <w:spacing w:after="40"/>
              <w:rPr>
                <w:rFonts w:ascii="Times New Roman" w:hAnsi="Times New Roman" w:cs="Times New Roman"/>
              </w:rPr>
            </w:pPr>
            <w:r w:rsidRPr="001E299A">
              <w:rPr>
                <w:rFonts w:ascii="Times New Roman" w:hAnsi="Times New Roman" w:cs="Times New Roman"/>
              </w:rPr>
              <w:t>Tuljava</w:t>
            </w:r>
          </w:p>
        </w:tc>
        <w:tc>
          <w:tcPr>
            <w:tcW w:w="1134" w:type="dxa"/>
          </w:tcPr>
          <w:p w:rsidR="008076FF" w:rsidRPr="001E299A" w:rsidRDefault="008076FF" w:rsidP="008076FF">
            <w:pPr>
              <w:spacing w:after="40"/>
              <w:jc w:val="center"/>
              <w:rPr>
                <w:rFonts w:ascii="Times New Roman" w:hAnsi="Times New Roman" w:cs="Times New Roman"/>
              </w:rPr>
            </w:pPr>
            <w:r w:rsidRPr="001E299A">
              <w:rPr>
                <w:rFonts w:ascii="Times New Roman" w:hAnsi="Times New Roman" w:cs="Times New Roman"/>
              </w:rPr>
              <w:t>2,50</w:t>
            </w:r>
          </w:p>
        </w:tc>
        <w:tc>
          <w:tcPr>
            <w:tcW w:w="1559" w:type="dxa"/>
          </w:tcPr>
          <w:p w:rsidR="008076FF" w:rsidRPr="001E299A" w:rsidRDefault="008076FF" w:rsidP="008076FF">
            <w:pPr>
              <w:spacing w:after="40"/>
              <w:jc w:val="right"/>
              <w:rPr>
                <w:rFonts w:ascii="Times New Roman" w:hAnsi="Times New Roman" w:cs="Times New Roman"/>
              </w:rPr>
            </w:pPr>
            <w:r w:rsidRPr="001E299A">
              <w:rPr>
                <w:rFonts w:ascii="Times New Roman" w:hAnsi="Times New Roman" w:cs="Times New Roman"/>
              </w:rPr>
              <w:t>317,50</w:t>
            </w:r>
          </w:p>
        </w:tc>
      </w:tr>
      <w:tr w:rsidR="008076FF" w:rsidRPr="001E299A" w:rsidTr="008076FF">
        <w:tc>
          <w:tcPr>
            <w:tcW w:w="817" w:type="dxa"/>
          </w:tcPr>
          <w:p w:rsidR="008076FF" w:rsidRPr="001E299A" w:rsidRDefault="008076FF" w:rsidP="00C26474">
            <w:pPr>
              <w:spacing w:after="40"/>
              <w:rPr>
                <w:rFonts w:ascii="Times New Roman" w:hAnsi="Times New Roman" w:cs="Times New Roman"/>
              </w:rPr>
            </w:pPr>
            <w:r w:rsidRPr="001E299A">
              <w:rPr>
                <w:rFonts w:ascii="Times New Roman" w:hAnsi="Times New Roman" w:cs="Times New Roman"/>
              </w:rPr>
              <w:t>1.17</w:t>
            </w:r>
          </w:p>
        </w:tc>
        <w:tc>
          <w:tcPr>
            <w:tcW w:w="3827" w:type="dxa"/>
          </w:tcPr>
          <w:p w:rsidR="008076FF" w:rsidRPr="001E299A" w:rsidRDefault="008076FF" w:rsidP="00C26474">
            <w:pPr>
              <w:spacing w:after="40"/>
              <w:rPr>
                <w:rFonts w:ascii="Times New Roman" w:hAnsi="Times New Roman" w:cs="Times New Roman"/>
              </w:rPr>
            </w:pPr>
            <w:r w:rsidRPr="001E299A">
              <w:rPr>
                <w:rFonts w:ascii="Times New Roman" w:hAnsi="Times New Roman" w:cs="Times New Roman"/>
              </w:rPr>
              <w:t>Mehansko čiščenje</w:t>
            </w:r>
          </w:p>
          <w:p w:rsidR="008076FF" w:rsidRPr="001E299A" w:rsidRDefault="008076FF" w:rsidP="00C26474">
            <w:pPr>
              <w:spacing w:after="40"/>
              <w:rPr>
                <w:rFonts w:ascii="Times New Roman" w:hAnsi="Times New Roman" w:cs="Times New Roman"/>
              </w:rPr>
            </w:pPr>
            <w:r w:rsidRPr="001E299A">
              <w:rPr>
                <w:rFonts w:ascii="Times New Roman" w:hAnsi="Times New Roman" w:cs="Times New Roman"/>
              </w:rPr>
              <w:t>Samostojni dimnik do vključno fi 20 cm</w:t>
            </w:r>
          </w:p>
        </w:tc>
        <w:tc>
          <w:tcPr>
            <w:tcW w:w="993" w:type="dxa"/>
          </w:tcPr>
          <w:p w:rsidR="008076FF" w:rsidRPr="001E299A" w:rsidRDefault="008076FF" w:rsidP="00C26474">
            <w:pPr>
              <w:spacing w:after="40"/>
              <w:rPr>
                <w:rFonts w:ascii="Times New Roman" w:hAnsi="Times New Roman" w:cs="Times New Roman"/>
              </w:rPr>
            </w:pPr>
            <w:r w:rsidRPr="001E299A">
              <w:rPr>
                <w:rFonts w:ascii="Times New Roman" w:hAnsi="Times New Roman" w:cs="Times New Roman"/>
              </w:rPr>
              <w:t>32,00</w:t>
            </w:r>
          </w:p>
        </w:tc>
        <w:tc>
          <w:tcPr>
            <w:tcW w:w="992" w:type="dxa"/>
          </w:tcPr>
          <w:p w:rsidR="008076FF" w:rsidRPr="001E299A" w:rsidRDefault="008076FF" w:rsidP="00C26474">
            <w:pPr>
              <w:spacing w:after="40"/>
              <w:rPr>
                <w:rFonts w:ascii="Times New Roman" w:hAnsi="Times New Roman" w:cs="Times New Roman"/>
              </w:rPr>
            </w:pPr>
            <w:r w:rsidRPr="001E299A">
              <w:rPr>
                <w:rFonts w:ascii="Times New Roman" w:hAnsi="Times New Roman" w:cs="Times New Roman"/>
              </w:rPr>
              <w:t>Tuljava</w:t>
            </w:r>
          </w:p>
        </w:tc>
        <w:tc>
          <w:tcPr>
            <w:tcW w:w="1134" w:type="dxa"/>
          </w:tcPr>
          <w:p w:rsidR="008076FF" w:rsidRPr="001E299A" w:rsidRDefault="008076FF" w:rsidP="008076FF">
            <w:pPr>
              <w:spacing w:after="40"/>
              <w:jc w:val="center"/>
              <w:rPr>
                <w:rFonts w:ascii="Times New Roman" w:hAnsi="Times New Roman" w:cs="Times New Roman"/>
              </w:rPr>
            </w:pPr>
            <w:r w:rsidRPr="001E299A">
              <w:rPr>
                <w:rFonts w:ascii="Times New Roman" w:hAnsi="Times New Roman" w:cs="Times New Roman"/>
              </w:rPr>
              <w:t>5,80</w:t>
            </w:r>
          </w:p>
        </w:tc>
        <w:tc>
          <w:tcPr>
            <w:tcW w:w="1559" w:type="dxa"/>
          </w:tcPr>
          <w:p w:rsidR="008076FF" w:rsidRPr="001E299A" w:rsidRDefault="008076FF" w:rsidP="008076FF">
            <w:pPr>
              <w:spacing w:after="40"/>
              <w:jc w:val="right"/>
              <w:rPr>
                <w:rFonts w:ascii="Times New Roman" w:hAnsi="Times New Roman" w:cs="Times New Roman"/>
              </w:rPr>
            </w:pPr>
            <w:r w:rsidRPr="001E299A">
              <w:rPr>
                <w:rFonts w:ascii="Times New Roman" w:hAnsi="Times New Roman" w:cs="Times New Roman"/>
              </w:rPr>
              <w:t>185,60</w:t>
            </w:r>
          </w:p>
        </w:tc>
      </w:tr>
      <w:tr w:rsidR="00C874C3" w:rsidRPr="001E299A" w:rsidTr="008076FF">
        <w:tc>
          <w:tcPr>
            <w:tcW w:w="817" w:type="dxa"/>
          </w:tcPr>
          <w:p w:rsidR="00C874C3" w:rsidRPr="001E299A" w:rsidRDefault="00C874C3" w:rsidP="00C26474">
            <w:pPr>
              <w:spacing w:after="40"/>
              <w:rPr>
                <w:rFonts w:ascii="Times New Roman" w:hAnsi="Times New Roman" w:cs="Times New Roman"/>
              </w:rPr>
            </w:pPr>
          </w:p>
        </w:tc>
        <w:tc>
          <w:tcPr>
            <w:tcW w:w="3827" w:type="dxa"/>
          </w:tcPr>
          <w:p w:rsidR="00C874C3" w:rsidRPr="001E299A" w:rsidRDefault="00C874C3" w:rsidP="00C26474">
            <w:pPr>
              <w:spacing w:after="40"/>
              <w:rPr>
                <w:rFonts w:ascii="Times New Roman" w:hAnsi="Times New Roman" w:cs="Times New Roman"/>
              </w:rPr>
            </w:pPr>
          </w:p>
        </w:tc>
        <w:tc>
          <w:tcPr>
            <w:tcW w:w="993" w:type="dxa"/>
          </w:tcPr>
          <w:p w:rsidR="00C874C3" w:rsidRPr="001E299A" w:rsidRDefault="00C874C3" w:rsidP="00C26474">
            <w:pPr>
              <w:spacing w:after="40"/>
              <w:rPr>
                <w:rFonts w:ascii="Times New Roman" w:hAnsi="Times New Roman" w:cs="Times New Roman"/>
              </w:rPr>
            </w:pPr>
          </w:p>
        </w:tc>
        <w:tc>
          <w:tcPr>
            <w:tcW w:w="992" w:type="dxa"/>
          </w:tcPr>
          <w:p w:rsidR="00C874C3" w:rsidRPr="001E299A" w:rsidRDefault="00C874C3" w:rsidP="00C26474">
            <w:pPr>
              <w:spacing w:after="40"/>
              <w:rPr>
                <w:rFonts w:ascii="Times New Roman" w:hAnsi="Times New Roman" w:cs="Times New Roman"/>
              </w:rPr>
            </w:pPr>
          </w:p>
        </w:tc>
        <w:tc>
          <w:tcPr>
            <w:tcW w:w="1134" w:type="dxa"/>
          </w:tcPr>
          <w:p w:rsidR="00C874C3" w:rsidRPr="001E299A" w:rsidRDefault="00C874C3" w:rsidP="008076FF">
            <w:pPr>
              <w:spacing w:after="40"/>
              <w:jc w:val="center"/>
              <w:rPr>
                <w:rFonts w:ascii="Times New Roman" w:hAnsi="Times New Roman" w:cs="Times New Roman"/>
              </w:rPr>
            </w:pPr>
            <w:r w:rsidRPr="001E299A">
              <w:rPr>
                <w:rFonts w:ascii="Times New Roman" w:hAnsi="Times New Roman" w:cs="Times New Roman"/>
              </w:rPr>
              <w:t>Skupaj:</w:t>
            </w:r>
          </w:p>
        </w:tc>
        <w:tc>
          <w:tcPr>
            <w:tcW w:w="1559" w:type="dxa"/>
          </w:tcPr>
          <w:p w:rsidR="00C874C3" w:rsidRPr="001E299A" w:rsidRDefault="00C874C3" w:rsidP="008076FF">
            <w:pPr>
              <w:spacing w:after="40"/>
              <w:jc w:val="right"/>
              <w:rPr>
                <w:rFonts w:ascii="Times New Roman" w:hAnsi="Times New Roman" w:cs="Times New Roman"/>
              </w:rPr>
            </w:pPr>
            <w:r w:rsidRPr="001E299A">
              <w:rPr>
                <w:rFonts w:ascii="Times New Roman" w:hAnsi="Times New Roman" w:cs="Times New Roman"/>
              </w:rPr>
              <w:t>696,60</w:t>
            </w:r>
          </w:p>
        </w:tc>
      </w:tr>
      <w:tr w:rsidR="00C874C3" w:rsidRPr="001E299A" w:rsidTr="008076FF">
        <w:tc>
          <w:tcPr>
            <w:tcW w:w="817" w:type="dxa"/>
          </w:tcPr>
          <w:p w:rsidR="00C874C3" w:rsidRPr="001E299A" w:rsidRDefault="00C874C3" w:rsidP="00C26474">
            <w:pPr>
              <w:spacing w:after="40"/>
              <w:rPr>
                <w:rFonts w:ascii="Times New Roman" w:hAnsi="Times New Roman" w:cs="Times New Roman"/>
              </w:rPr>
            </w:pPr>
          </w:p>
        </w:tc>
        <w:tc>
          <w:tcPr>
            <w:tcW w:w="3827" w:type="dxa"/>
          </w:tcPr>
          <w:p w:rsidR="00C874C3" w:rsidRPr="001E299A" w:rsidRDefault="00C874C3" w:rsidP="00C26474">
            <w:pPr>
              <w:spacing w:after="40"/>
              <w:rPr>
                <w:rFonts w:ascii="Times New Roman" w:hAnsi="Times New Roman" w:cs="Times New Roman"/>
              </w:rPr>
            </w:pPr>
          </w:p>
        </w:tc>
        <w:tc>
          <w:tcPr>
            <w:tcW w:w="993" w:type="dxa"/>
          </w:tcPr>
          <w:p w:rsidR="00C874C3" w:rsidRPr="001E299A" w:rsidRDefault="00C874C3" w:rsidP="00C26474">
            <w:pPr>
              <w:spacing w:after="40"/>
              <w:rPr>
                <w:rFonts w:ascii="Times New Roman" w:hAnsi="Times New Roman" w:cs="Times New Roman"/>
              </w:rPr>
            </w:pPr>
          </w:p>
        </w:tc>
        <w:tc>
          <w:tcPr>
            <w:tcW w:w="992" w:type="dxa"/>
          </w:tcPr>
          <w:p w:rsidR="00C874C3" w:rsidRPr="001E299A" w:rsidRDefault="00C874C3" w:rsidP="00C26474">
            <w:pPr>
              <w:spacing w:after="40"/>
              <w:rPr>
                <w:rFonts w:ascii="Times New Roman" w:hAnsi="Times New Roman" w:cs="Times New Roman"/>
              </w:rPr>
            </w:pPr>
          </w:p>
        </w:tc>
        <w:tc>
          <w:tcPr>
            <w:tcW w:w="1134" w:type="dxa"/>
          </w:tcPr>
          <w:p w:rsidR="00C874C3" w:rsidRPr="001E299A" w:rsidRDefault="00C874C3" w:rsidP="008076FF">
            <w:pPr>
              <w:spacing w:after="40"/>
              <w:jc w:val="center"/>
              <w:rPr>
                <w:rFonts w:ascii="Times New Roman" w:hAnsi="Times New Roman" w:cs="Times New Roman"/>
              </w:rPr>
            </w:pPr>
            <w:r w:rsidRPr="001E299A">
              <w:rPr>
                <w:rFonts w:ascii="Times New Roman" w:hAnsi="Times New Roman" w:cs="Times New Roman"/>
              </w:rPr>
              <w:t>DDV 22%</w:t>
            </w:r>
          </w:p>
        </w:tc>
        <w:tc>
          <w:tcPr>
            <w:tcW w:w="1559" w:type="dxa"/>
          </w:tcPr>
          <w:p w:rsidR="00C874C3" w:rsidRPr="001E299A" w:rsidRDefault="00C874C3" w:rsidP="008076FF">
            <w:pPr>
              <w:spacing w:after="40"/>
              <w:jc w:val="right"/>
              <w:rPr>
                <w:rFonts w:ascii="Times New Roman" w:hAnsi="Times New Roman" w:cs="Times New Roman"/>
              </w:rPr>
            </w:pPr>
            <w:r w:rsidRPr="001E299A">
              <w:rPr>
                <w:rFonts w:ascii="Times New Roman" w:hAnsi="Times New Roman" w:cs="Times New Roman"/>
              </w:rPr>
              <w:t>153,25</w:t>
            </w:r>
          </w:p>
        </w:tc>
      </w:tr>
      <w:tr w:rsidR="00A334D5" w:rsidRPr="001E299A" w:rsidTr="008076FF">
        <w:tc>
          <w:tcPr>
            <w:tcW w:w="817" w:type="dxa"/>
          </w:tcPr>
          <w:p w:rsidR="00A334D5" w:rsidRPr="001E299A" w:rsidRDefault="00A334D5" w:rsidP="00C26474">
            <w:pPr>
              <w:spacing w:after="40"/>
              <w:rPr>
                <w:rFonts w:ascii="Times New Roman" w:hAnsi="Times New Roman" w:cs="Times New Roman"/>
              </w:rPr>
            </w:pPr>
          </w:p>
        </w:tc>
        <w:tc>
          <w:tcPr>
            <w:tcW w:w="3827" w:type="dxa"/>
          </w:tcPr>
          <w:p w:rsidR="00A334D5" w:rsidRPr="001E299A" w:rsidRDefault="00A334D5" w:rsidP="00C26474">
            <w:pPr>
              <w:spacing w:after="40"/>
              <w:rPr>
                <w:rFonts w:ascii="Times New Roman" w:hAnsi="Times New Roman" w:cs="Times New Roman"/>
              </w:rPr>
            </w:pPr>
          </w:p>
        </w:tc>
        <w:tc>
          <w:tcPr>
            <w:tcW w:w="993" w:type="dxa"/>
          </w:tcPr>
          <w:p w:rsidR="00A334D5" w:rsidRPr="001E299A" w:rsidRDefault="00A334D5" w:rsidP="00C26474">
            <w:pPr>
              <w:spacing w:after="40"/>
              <w:rPr>
                <w:rFonts w:ascii="Times New Roman" w:hAnsi="Times New Roman" w:cs="Times New Roman"/>
              </w:rPr>
            </w:pPr>
          </w:p>
        </w:tc>
        <w:tc>
          <w:tcPr>
            <w:tcW w:w="992" w:type="dxa"/>
          </w:tcPr>
          <w:p w:rsidR="00A334D5" w:rsidRPr="001E299A" w:rsidRDefault="00A334D5" w:rsidP="00C26474">
            <w:pPr>
              <w:spacing w:after="40"/>
              <w:rPr>
                <w:rFonts w:ascii="Times New Roman" w:hAnsi="Times New Roman" w:cs="Times New Roman"/>
              </w:rPr>
            </w:pPr>
          </w:p>
        </w:tc>
        <w:tc>
          <w:tcPr>
            <w:tcW w:w="1134" w:type="dxa"/>
          </w:tcPr>
          <w:p w:rsidR="00A334D5" w:rsidRPr="001E299A" w:rsidRDefault="00A334D5" w:rsidP="008076FF">
            <w:pPr>
              <w:spacing w:after="40"/>
              <w:jc w:val="center"/>
              <w:rPr>
                <w:rFonts w:ascii="Times New Roman" w:hAnsi="Times New Roman" w:cs="Times New Roman"/>
                <w:b/>
              </w:rPr>
            </w:pPr>
            <w:r w:rsidRPr="001E299A">
              <w:rPr>
                <w:rFonts w:ascii="Times New Roman" w:hAnsi="Times New Roman" w:cs="Times New Roman"/>
                <w:b/>
              </w:rPr>
              <w:t>Skupaj:</w:t>
            </w:r>
          </w:p>
        </w:tc>
        <w:tc>
          <w:tcPr>
            <w:tcW w:w="1559" w:type="dxa"/>
          </w:tcPr>
          <w:p w:rsidR="00A334D5" w:rsidRPr="001E299A" w:rsidRDefault="00A334D5" w:rsidP="008076FF">
            <w:pPr>
              <w:spacing w:after="40"/>
              <w:jc w:val="right"/>
              <w:rPr>
                <w:rFonts w:ascii="Times New Roman" w:hAnsi="Times New Roman" w:cs="Times New Roman"/>
                <w:b/>
              </w:rPr>
            </w:pPr>
            <w:r w:rsidRPr="001E299A">
              <w:rPr>
                <w:rFonts w:ascii="Times New Roman" w:hAnsi="Times New Roman" w:cs="Times New Roman"/>
                <w:b/>
              </w:rPr>
              <w:t>849,85</w:t>
            </w:r>
          </w:p>
        </w:tc>
      </w:tr>
    </w:tbl>
    <w:p w:rsidR="00E40EAE" w:rsidRPr="001E299A" w:rsidRDefault="00A334D5" w:rsidP="00BA4671">
      <w:pPr>
        <w:spacing w:after="40"/>
        <w:jc w:val="center"/>
        <w:rPr>
          <w:rFonts w:ascii="Times New Roman" w:hAnsi="Times New Roman" w:cs="Times New Roman"/>
          <w:b/>
        </w:rPr>
      </w:pPr>
      <w:r w:rsidRPr="001E299A">
        <w:rPr>
          <w:rFonts w:ascii="Times New Roman" w:hAnsi="Times New Roman" w:cs="Times New Roman"/>
          <w:b/>
        </w:rPr>
        <w:t xml:space="preserve">Opomba: Delo je izvedel en dimnikar v  2 (dveh) urah, </w:t>
      </w:r>
    </w:p>
    <w:p w:rsidR="00811682" w:rsidRPr="00802EFD" w:rsidRDefault="00A334D5" w:rsidP="00E40EAE">
      <w:pPr>
        <w:spacing w:after="40"/>
        <w:jc w:val="center"/>
        <w:rPr>
          <w:rFonts w:ascii="Times New Roman" w:hAnsi="Times New Roman" w:cs="Times New Roman"/>
          <w:b/>
          <w:i/>
        </w:rPr>
      </w:pPr>
      <w:r w:rsidRPr="00802EFD">
        <w:rPr>
          <w:rFonts w:ascii="Times New Roman" w:hAnsi="Times New Roman" w:cs="Times New Roman"/>
          <w:b/>
          <w:i/>
        </w:rPr>
        <w:t>zaračunana ura ima torej vrednost</w:t>
      </w:r>
      <w:r w:rsidR="00E40EAE" w:rsidRPr="00802EFD">
        <w:rPr>
          <w:rFonts w:ascii="Times New Roman" w:hAnsi="Times New Roman" w:cs="Times New Roman"/>
          <w:b/>
          <w:i/>
        </w:rPr>
        <w:t xml:space="preserve">  </w:t>
      </w:r>
      <w:r w:rsidRPr="00802EFD">
        <w:rPr>
          <w:rFonts w:ascii="Times New Roman" w:hAnsi="Times New Roman" w:cs="Times New Roman"/>
          <w:b/>
          <w:i/>
          <w:u w:val="single"/>
        </w:rPr>
        <w:t>424,925 €</w:t>
      </w:r>
      <w:r w:rsidR="00105299" w:rsidRPr="00802EFD">
        <w:rPr>
          <w:rFonts w:ascii="Times New Roman" w:hAnsi="Times New Roman" w:cs="Times New Roman"/>
          <w:b/>
          <w:i/>
          <w:u w:val="single"/>
        </w:rPr>
        <w:t xml:space="preserve"> z DDV</w:t>
      </w:r>
    </w:p>
    <w:p w:rsidR="008076FF" w:rsidRDefault="00E40EAE" w:rsidP="00C26474">
      <w:pPr>
        <w:spacing w:after="40"/>
        <w:rPr>
          <w:rFonts w:ascii="Times New Roman" w:hAnsi="Times New Roman" w:cs="Times New Roman"/>
        </w:rPr>
      </w:pPr>
      <w:r w:rsidRPr="001E299A">
        <w:rPr>
          <w:rFonts w:ascii="Times New Roman" w:hAnsi="Times New Roman" w:cs="Times New Roman"/>
        </w:rPr>
        <w:t>Ker sem tudi sam videl, da je dimnikar po cca dve urah zaključil z delom  (ali so bila opravila stvarno izvršena, pa  ne vem), smo dospeli račun pač poravnali.</w:t>
      </w:r>
    </w:p>
    <w:p w:rsidR="005E65E5" w:rsidRPr="001E299A" w:rsidRDefault="005E65E5" w:rsidP="00C26474">
      <w:pPr>
        <w:spacing w:after="40"/>
        <w:rPr>
          <w:rFonts w:ascii="Times New Roman" w:hAnsi="Times New Roman" w:cs="Times New Roman"/>
        </w:rPr>
      </w:pPr>
      <w:r>
        <w:rPr>
          <w:rFonts w:ascii="Times New Roman" w:hAnsi="Times New Roman" w:cs="Times New Roman"/>
        </w:rPr>
        <w:t>Dimnikarstvo je res odgovorno delo – a meja najbrž ni nebo ?</w:t>
      </w:r>
    </w:p>
    <w:p w:rsidR="00B81FD6" w:rsidRPr="001E299A" w:rsidRDefault="00B81FD6" w:rsidP="00C26474">
      <w:pPr>
        <w:spacing w:after="40"/>
        <w:rPr>
          <w:rFonts w:ascii="Times New Roman" w:hAnsi="Times New Roman" w:cs="Times New Roman"/>
        </w:rPr>
      </w:pPr>
      <w:r w:rsidRPr="001E299A">
        <w:rPr>
          <w:rFonts w:ascii="Times New Roman" w:hAnsi="Times New Roman" w:cs="Times New Roman"/>
        </w:rPr>
        <w:t xml:space="preserve">Prišlo je leto 2016 in z njim tudi dimnikar. </w:t>
      </w:r>
    </w:p>
    <w:p w:rsidR="008076FF" w:rsidRPr="001E299A" w:rsidRDefault="00B81FD6" w:rsidP="00C26474">
      <w:pPr>
        <w:spacing w:after="40"/>
        <w:rPr>
          <w:rFonts w:ascii="Times New Roman" w:hAnsi="Times New Roman" w:cs="Times New Roman"/>
        </w:rPr>
      </w:pPr>
      <w:r w:rsidRPr="001E299A">
        <w:rPr>
          <w:rFonts w:ascii="Times New Roman" w:hAnsi="Times New Roman" w:cs="Times New Roman"/>
        </w:rPr>
        <w:t>Zaradi slabe izkušnje iz prejšnjega leta sem se tudi sam povzpel na ravno streho našega stanovanjskega objekta in spremljal delo dimnikarja</w:t>
      </w:r>
      <w:r w:rsidR="009872B2" w:rsidRPr="001E299A">
        <w:rPr>
          <w:rFonts w:ascii="Times New Roman" w:hAnsi="Times New Roman" w:cs="Times New Roman"/>
        </w:rPr>
        <w:t>. Po dveh urah je končal z delom in mi dal v podpis delovni nalog, iz katerega je bilo razvidno, da imamo 172 zračnikov, od tega 45 očiščenih in 32 tuljav za plinasto gorivo. Na moje vprašanje, od kje 172 zračnikov je dejal, naj pogledam, ali jih je res toliko. Res imamo 172</w:t>
      </w:r>
      <w:r w:rsidR="000F58BB">
        <w:rPr>
          <w:rFonts w:ascii="Times New Roman" w:hAnsi="Times New Roman" w:cs="Times New Roman"/>
        </w:rPr>
        <w:t xml:space="preserve"> (</w:t>
      </w:r>
      <w:r w:rsidR="000F58BB" w:rsidRPr="000F58BB">
        <w:rPr>
          <w:rFonts w:ascii="Times New Roman" w:hAnsi="Times New Roman" w:cs="Times New Roman"/>
          <w:i/>
        </w:rPr>
        <w:t>127 + 45</w:t>
      </w:r>
      <w:r w:rsidR="000F58BB">
        <w:rPr>
          <w:rFonts w:ascii="Times New Roman" w:hAnsi="Times New Roman" w:cs="Times New Roman"/>
        </w:rPr>
        <w:t>)</w:t>
      </w:r>
      <w:r w:rsidR="009872B2" w:rsidRPr="001E299A">
        <w:rPr>
          <w:rFonts w:ascii="Times New Roman" w:hAnsi="Times New Roman" w:cs="Times New Roman"/>
        </w:rPr>
        <w:t xml:space="preserve"> zračnikov in sem podpisal.</w:t>
      </w:r>
    </w:p>
    <w:p w:rsidR="009872B2" w:rsidRPr="001E299A" w:rsidRDefault="009872B2" w:rsidP="00C26474">
      <w:pPr>
        <w:spacing w:after="40"/>
        <w:rPr>
          <w:rFonts w:ascii="Times New Roman" w:hAnsi="Times New Roman" w:cs="Times New Roman"/>
        </w:rPr>
      </w:pPr>
      <w:r w:rsidRPr="001E299A">
        <w:rPr>
          <w:rFonts w:ascii="Times New Roman" w:hAnsi="Times New Roman" w:cs="Times New Roman"/>
        </w:rPr>
        <w:t>In potem je prišel račun, popolnoma enak kot prejšnje leto.</w:t>
      </w:r>
    </w:p>
    <w:p w:rsidR="009872B2" w:rsidRPr="001E299A" w:rsidRDefault="009872B2" w:rsidP="00C26474">
      <w:pPr>
        <w:spacing w:after="40"/>
        <w:rPr>
          <w:rFonts w:ascii="Times New Roman" w:hAnsi="Times New Roman" w:cs="Times New Roman"/>
        </w:rPr>
      </w:pPr>
      <w:r w:rsidRPr="001E299A">
        <w:rPr>
          <w:rFonts w:ascii="Times New Roman" w:hAnsi="Times New Roman" w:cs="Times New Roman"/>
        </w:rPr>
        <w:t>Po določilih  uvodoma omenjen</w:t>
      </w:r>
      <w:r w:rsidR="00991CBF" w:rsidRPr="001E299A">
        <w:rPr>
          <w:rFonts w:ascii="Times New Roman" w:hAnsi="Times New Roman" w:cs="Times New Roman"/>
        </w:rPr>
        <w:t>ega</w:t>
      </w:r>
      <w:r w:rsidR="007C45BE">
        <w:rPr>
          <w:rFonts w:ascii="Times New Roman" w:hAnsi="Times New Roman" w:cs="Times New Roman"/>
        </w:rPr>
        <w:t xml:space="preserve"> 2. i</w:t>
      </w:r>
      <w:r w:rsidRPr="001E299A">
        <w:rPr>
          <w:rFonts w:ascii="Times New Roman" w:hAnsi="Times New Roman" w:cs="Times New Roman"/>
        </w:rPr>
        <w:t>n 4. odstavka 19</w:t>
      </w:r>
      <w:r w:rsidR="00991CBF" w:rsidRPr="001E299A">
        <w:rPr>
          <w:rFonts w:ascii="Times New Roman" w:hAnsi="Times New Roman" w:cs="Times New Roman"/>
        </w:rPr>
        <w:t>.</w:t>
      </w:r>
      <w:r w:rsidRPr="001E299A">
        <w:rPr>
          <w:rFonts w:ascii="Times New Roman" w:hAnsi="Times New Roman" w:cs="Times New Roman"/>
        </w:rPr>
        <w:t xml:space="preserve"> člena </w:t>
      </w:r>
      <w:r w:rsidR="00991CBF" w:rsidRPr="001E299A">
        <w:rPr>
          <w:rFonts w:ascii="Times New Roman" w:hAnsi="Times New Roman" w:cs="Times New Roman"/>
        </w:rPr>
        <w:t xml:space="preserve">Zakona o dimnikarskih storitvah </w:t>
      </w:r>
      <w:r w:rsidR="00105299" w:rsidRPr="001E299A">
        <w:rPr>
          <w:rFonts w:ascii="Times New Roman" w:hAnsi="Times New Roman" w:cs="Times New Roman"/>
        </w:rPr>
        <w:t>je</w:t>
      </w:r>
      <w:r w:rsidR="00991CBF" w:rsidRPr="001E299A">
        <w:rPr>
          <w:rFonts w:ascii="Times New Roman" w:hAnsi="Times New Roman" w:cs="Times New Roman"/>
        </w:rPr>
        <w:t xml:space="preserve"> iz priznane cene ure dimnikarja 25,20 €/h v sorazmerju glede na vrednost posameznega opravila</w:t>
      </w:r>
      <w:r w:rsidR="002A739A" w:rsidRPr="002A739A">
        <w:rPr>
          <w:rFonts w:ascii="Times New Roman" w:hAnsi="Times New Roman" w:cs="Times New Roman"/>
        </w:rPr>
        <w:t xml:space="preserve"> (</w:t>
      </w:r>
      <w:r w:rsidR="002A739A" w:rsidRPr="002A739A">
        <w:rPr>
          <w:rFonts w:ascii="Times New Roman" w:hAnsi="Times New Roman" w:cs="Times New Roman"/>
          <w:i/>
        </w:rPr>
        <w:t xml:space="preserve">kar objektivno predpostavljam, da je Vlada RS upoštevala, ko je sprejela </w:t>
      </w:r>
      <w:r w:rsidR="002A739A" w:rsidRPr="002A739A">
        <w:rPr>
          <w:rFonts w:ascii="Times New Roman" w:eastAsia="Times New Roman" w:hAnsi="Times New Roman" w:cs="Times New Roman"/>
          <w:b/>
          <w:bCs/>
          <w:i/>
          <w:lang w:eastAsia="sl-SI"/>
        </w:rPr>
        <w:t xml:space="preserve">S K L E P  o ceniku dimnikarskih storitev </w:t>
      </w:r>
      <w:r w:rsidR="002A739A">
        <w:rPr>
          <w:rFonts w:ascii="Times New Roman" w:eastAsia="Times New Roman" w:hAnsi="Times New Roman" w:cs="Times New Roman"/>
          <w:i/>
          <w:lang w:eastAsia="sl-SI"/>
        </w:rPr>
        <w:t xml:space="preserve">- </w:t>
      </w:r>
      <w:hyperlink r:id="rId4" w:anchor="!/Uradni-list-RS-st-57-2010-z-dne-16-7-2010" w:tooltip="Uradni list RS, št. 57/2010 z dne 16. 7. 2010" w:history="1">
        <w:r w:rsidR="002A739A" w:rsidRPr="002A739A">
          <w:rPr>
            <w:rFonts w:ascii="Times New Roman" w:eastAsia="Times New Roman" w:hAnsi="Times New Roman" w:cs="Times New Roman"/>
            <w:i/>
            <w:u w:val="single"/>
            <w:lang w:eastAsia="sl-SI"/>
          </w:rPr>
          <w:t>Uradni list RS, št. 57/2010  z dne 16. 7. 2010</w:t>
        </w:r>
      </w:hyperlink>
      <w:r w:rsidR="002A739A" w:rsidRPr="002A739A">
        <w:rPr>
          <w:rFonts w:ascii="Times New Roman" w:hAnsi="Times New Roman" w:cs="Times New Roman"/>
        </w:rPr>
        <w:t xml:space="preserve">)  </w:t>
      </w:r>
      <w:r w:rsidR="00991CBF" w:rsidRPr="002A739A">
        <w:rPr>
          <w:rFonts w:ascii="Times New Roman" w:hAnsi="Times New Roman" w:cs="Times New Roman"/>
        </w:rPr>
        <w:t xml:space="preserve"> </w:t>
      </w:r>
      <w:r w:rsidR="00991CBF" w:rsidRPr="001E299A">
        <w:rPr>
          <w:rFonts w:ascii="Times New Roman" w:hAnsi="Times New Roman" w:cs="Times New Roman"/>
        </w:rPr>
        <w:t xml:space="preserve">in izračuna časovnega normativa v sorazmernem deležu vseh opravljenih storitev po tem računu oz. delovnem nalogu </w:t>
      </w:r>
      <w:r w:rsidR="00105299" w:rsidRPr="001E299A">
        <w:rPr>
          <w:rFonts w:ascii="Times New Roman" w:hAnsi="Times New Roman" w:cs="Times New Roman"/>
        </w:rPr>
        <w:t>razvidno</w:t>
      </w:r>
      <w:r w:rsidR="00991CBF" w:rsidRPr="001E299A">
        <w:rPr>
          <w:rFonts w:ascii="Times New Roman" w:hAnsi="Times New Roman" w:cs="Times New Roman"/>
        </w:rPr>
        <w:t xml:space="preserve">, da </w:t>
      </w:r>
      <w:r w:rsidR="00105299" w:rsidRPr="001E299A">
        <w:rPr>
          <w:rFonts w:ascii="Times New Roman" w:hAnsi="Times New Roman" w:cs="Times New Roman"/>
        </w:rPr>
        <w:t>je</w:t>
      </w:r>
      <w:r w:rsidR="00991CBF" w:rsidRPr="001E299A">
        <w:rPr>
          <w:rFonts w:ascii="Times New Roman" w:hAnsi="Times New Roman" w:cs="Times New Roman"/>
        </w:rPr>
        <w:t xml:space="preserve"> dimnikar porabil za</w:t>
      </w:r>
      <w:r w:rsidR="002506AE" w:rsidRPr="001E299A">
        <w:rPr>
          <w:rFonts w:ascii="Times New Roman" w:hAnsi="Times New Roman" w:cs="Times New Roman"/>
        </w:rPr>
        <w:t xml:space="preserve"> naslednja dela:</w:t>
      </w:r>
    </w:p>
    <w:p w:rsidR="00991CBF" w:rsidRPr="001E299A" w:rsidRDefault="00991CBF" w:rsidP="00C26474">
      <w:pPr>
        <w:spacing w:after="40"/>
        <w:rPr>
          <w:rFonts w:ascii="Times New Roman" w:hAnsi="Times New Roman" w:cs="Times New Roman"/>
        </w:rPr>
      </w:pPr>
    </w:p>
    <w:tbl>
      <w:tblPr>
        <w:tblStyle w:val="Tabela-mrea"/>
        <w:tblW w:w="10173" w:type="dxa"/>
        <w:tblLayout w:type="fixed"/>
        <w:tblLook w:val="04A0"/>
      </w:tblPr>
      <w:tblGrid>
        <w:gridCol w:w="675"/>
        <w:gridCol w:w="2127"/>
        <w:gridCol w:w="850"/>
        <w:gridCol w:w="992"/>
        <w:gridCol w:w="993"/>
        <w:gridCol w:w="1134"/>
        <w:gridCol w:w="1134"/>
        <w:gridCol w:w="992"/>
        <w:gridCol w:w="1276"/>
      </w:tblGrid>
      <w:tr w:rsidR="002506AE" w:rsidRPr="00683F4F" w:rsidTr="00802EFD">
        <w:tc>
          <w:tcPr>
            <w:tcW w:w="675" w:type="dxa"/>
            <w:vAlign w:val="center"/>
          </w:tcPr>
          <w:p w:rsidR="002506AE" w:rsidRPr="00683F4F" w:rsidRDefault="002506AE" w:rsidP="00802EFD">
            <w:pPr>
              <w:spacing w:after="40"/>
              <w:jc w:val="center"/>
              <w:rPr>
                <w:rFonts w:ascii="Times New Roman" w:hAnsi="Times New Roman" w:cs="Times New Roman"/>
                <w:sz w:val="18"/>
                <w:szCs w:val="18"/>
              </w:rPr>
            </w:pPr>
            <w:r w:rsidRPr="00683F4F">
              <w:rPr>
                <w:rFonts w:ascii="Times New Roman" w:hAnsi="Times New Roman" w:cs="Times New Roman"/>
                <w:sz w:val="18"/>
                <w:szCs w:val="18"/>
              </w:rPr>
              <w:t>Šifra</w:t>
            </w:r>
          </w:p>
        </w:tc>
        <w:tc>
          <w:tcPr>
            <w:tcW w:w="2127" w:type="dxa"/>
            <w:vAlign w:val="center"/>
          </w:tcPr>
          <w:p w:rsidR="002506AE" w:rsidRPr="00683F4F" w:rsidRDefault="002506AE" w:rsidP="00802EFD">
            <w:pPr>
              <w:spacing w:after="40"/>
              <w:jc w:val="center"/>
              <w:rPr>
                <w:rFonts w:ascii="Times New Roman" w:hAnsi="Times New Roman" w:cs="Times New Roman"/>
                <w:sz w:val="18"/>
                <w:szCs w:val="18"/>
              </w:rPr>
            </w:pPr>
            <w:r w:rsidRPr="00683F4F">
              <w:rPr>
                <w:rFonts w:ascii="Times New Roman" w:hAnsi="Times New Roman" w:cs="Times New Roman"/>
                <w:sz w:val="18"/>
                <w:szCs w:val="18"/>
              </w:rPr>
              <w:t>Naziv</w:t>
            </w:r>
          </w:p>
        </w:tc>
        <w:tc>
          <w:tcPr>
            <w:tcW w:w="850" w:type="dxa"/>
            <w:vAlign w:val="center"/>
          </w:tcPr>
          <w:p w:rsidR="002506AE" w:rsidRPr="00683F4F" w:rsidRDefault="002506AE" w:rsidP="00802EFD">
            <w:pPr>
              <w:spacing w:after="40"/>
              <w:jc w:val="center"/>
              <w:rPr>
                <w:rFonts w:ascii="Times New Roman" w:hAnsi="Times New Roman" w:cs="Times New Roman"/>
                <w:sz w:val="18"/>
                <w:szCs w:val="18"/>
              </w:rPr>
            </w:pPr>
            <w:r w:rsidRPr="00683F4F">
              <w:rPr>
                <w:rFonts w:ascii="Times New Roman" w:hAnsi="Times New Roman" w:cs="Times New Roman"/>
                <w:sz w:val="18"/>
                <w:szCs w:val="18"/>
              </w:rPr>
              <w:t>Količina</w:t>
            </w:r>
          </w:p>
        </w:tc>
        <w:tc>
          <w:tcPr>
            <w:tcW w:w="992" w:type="dxa"/>
            <w:vAlign w:val="center"/>
          </w:tcPr>
          <w:p w:rsidR="002506AE" w:rsidRPr="00683F4F" w:rsidRDefault="002506AE" w:rsidP="00802EFD">
            <w:pPr>
              <w:spacing w:after="40"/>
              <w:jc w:val="center"/>
              <w:rPr>
                <w:rFonts w:ascii="Times New Roman" w:hAnsi="Times New Roman" w:cs="Times New Roman"/>
                <w:sz w:val="18"/>
                <w:szCs w:val="18"/>
              </w:rPr>
            </w:pPr>
            <w:r w:rsidRPr="00683F4F">
              <w:rPr>
                <w:rFonts w:ascii="Times New Roman" w:hAnsi="Times New Roman" w:cs="Times New Roman"/>
                <w:sz w:val="18"/>
                <w:szCs w:val="18"/>
              </w:rPr>
              <w:t>Enota</w:t>
            </w:r>
          </w:p>
        </w:tc>
        <w:tc>
          <w:tcPr>
            <w:tcW w:w="993" w:type="dxa"/>
            <w:vAlign w:val="center"/>
          </w:tcPr>
          <w:p w:rsidR="002506AE" w:rsidRPr="00683F4F" w:rsidRDefault="002506AE" w:rsidP="00802EFD">
            <w:pPr>
              <w:spacing w:after="40"/>
              <w:jc w:val="center"/>
              <w:rPr>
                <w:rFonts w:ascii="Times New Roman" w:hAnsi="Times New Roman" w:cs="Times New Roman"/>
                <w:sz w:val="18"/>
                <w:szCs w:val="18"/>
              </w:rPr>
            </w:pPr>
            <w:r w:rsidRPr="00683F4F">
              <w:rPr>
                <w:rFonts w:ascii="Times New Roman" w:hAnsi="Times New Roman" w:cs="Times New Roman"/>
                <w:sz w:val="18"/>
                <w:szCs w:val="18"/>
              </w:rPr>
              <w:t>Delež v razmerju</w:t>
            </w:r>
          </w:p>
        </w:tc>
        <w:tc>
          <w:tcPr>
            <w:tcW w:w="1134" w:type="dxa"/>
            <w:vAlign w:val="center"/>
          </w:tcPr>
          <w:p w:rsidR="002506AE" w:rsidRPr="00683F4F" w:rsidRDefault="002506AE" w:rsidP="00802EFD">
            <w:pPr>
              <w:spacing w:after="40"/>
              <w:jc w:val="center"/>
              <w:rPr>
                <w:rFonts w:ascii="Times New Roman" w:hAnsi="Times New Roman" w:cs="Times New Roman"/>
                <w:sz w:val="18"/>
                <w:szCs w:val="18"/>
              </w:rPr>
            </w:pPr>
            <w:r w:rsidRPr="00683F4F">
              <w:rPr>
                <w:rFonts w:ascii="Times New Roman" w:hAnsi="Times New Roman" w:cs="Times New Roman"/>
                <w:sz w:val="18"/>
                <w:szCs w:val="18"/>
              </w:rPr>
              <w:t>Skupni čas</w:t>
            </w:r>
          </w:p>
          <w:p w:rsidR="002506AE" w:rsidRPr="00683F4F" w:rsidRDefault="002506AE" w:rsidP="00802EFD">
            <w:pPr>
              <w:spacing w:after="40"/>
              <w:jc w:val="center"/>
              <w:rPr>
                <w:rFonts w:ascii="Times New Roman" w:hAnsi="Times New Roman" w:cs="Times New Roman"/>
                <w:sz w:val="18"/>
                <w:szCs w:val="18"/>
              </w:rPr>
            </w:pPr>
            <w:r w:rsidRPr="00683F4F">
              <w:rPr>
                <w:rFonts w:ascii="Times New Roman" w:hAnsi="Times New Roman" w:cs="Times New Roman"/>
                <w:sz w:val="18"/>
                <w:szCs w:val="18"/>
              </w:rPr>
              <w:t>po računu</w:t>
            </w:r>
          </w:p>
        </w:tc>
        <w:tc>
          <w:tcPr>
            <w:tcW w:w="1134" w:type="dxa"/>
            <w:vAlign w:val="center"/>
          </w:tcPr>
          <w:p w:rsidR="002506AE" w:rsidRPr="00683F4F" w:rsidRDefault="002506AE" w:rsidP="00802EFD">
            <w:pPr>
              <w:spacing w:after="40"/>
              <w:jc w:val="center"/>
              <w:rPr>
                <w:rFonts w:ascii="Times New Roman" w:hAnsi="Times New Roman" w:cs="Times New Roman"/>
                <w:b/>
                <w:sz w:val="18"/>
                <w:szCs w:val="18"/>
              </w:rPr>
            </w:pPr>
            <w:r w:rsidRPr="00683F4F">
              <w:rPr>
                <w:rFonts w:ascii="Times New Roman" w:hAnsi="Times New Roman" w:cs="Times New Roman"/>
                <w:b/>
                <w:sz w:val="18"/>
                <w:szCs w:val="18"/>
              </w:rPr>
              <w:t>Čas na enoto</w:t>
            </w:r>
          </w:p>
          <w:p w:rsidR="002506AE" w:rsidRPr="00683F4F" w:rsidRDefault="002506AE" w:rsidP="00802EFD">
            <w:pPr>
              <w:spacing w:after="40"/>
              <w:jc w:val="center"/>
              <w:rPr>
                <w:rFonts w:ascii="Times New Roman" w:hAnsi="Times New Roman" w:cs="Times New Roman"/>
                <w:b/>
                <w:sz w:val="18"/>
                <w:szCs w:val="18"/>
              </w:rPr>
            </w:pPr>
            <w:r w:rsidRPr="00683F4F">
              <w:rPr>
                <w:rFonts w:ascii="Times New Roman" w:hAnsi="Times New Roman" w:cs="Times New Roman"/>
                <w:b/>
                <w:sz w:val="18"/>
                <w:szCs w:val="18"/>
              </w:rPr>
              <w:t>po  računu</w:t>
            </w:r>
          </w:p>
        </w:tc>
        <w:tc>
          <w:tcPr>
            <w:tcW w:w="992" w:type="dxa"/>
            <w:vAlign w:val="center"/>
          </w:tcPr>
          <w:p w:rsidR="002506AE" w:rsidRPr="00683F4F" w:rsidRDefault="002506AE" w:rsidP="00802EFD">
            <w:pPr>
              <w:spacing w:after="40"/>
              <w:jc w:val="center"/>
              <w:rPr>
                <w:rFonts w:ascii="Times New Roman" w:hAnsi="Times New Roman" w:cs="Times New Roman"/>
                <w:sz w:val="18"/>
                <w:szCs w:val="18"/>
              </w:rPr>
            </w:pPr>
            <w:r w:rsidRPr="00683F4F">
              <w:rPr>
                <w:rFonts w:ascii="Times New Roman" w:hAnsi="Times New Roman" w:cs="Times New Roman"/>
                <w:sz w:val="18"/>
                <w:szCs w:val="18"/>
              </w:rPr>
              <w:t>Normativ</w:t>
            </w:r>
          </w:p>
          <w:p w:rsidR="002506AE" w:rsidRPr="00683F4F" w:rsidRDefault="002506AE" w:rsidP="00802EFD">
            <w:pPr>
              <w:spacing w:after="40"/>
              <w:jc w:val="center"/>
              <w:rPr>
                <w:rFonts w:ascii="Times New Roman" w:hAnsi="Times New Roman" w:cs="Times New Roman"/>
                <w:sz w:val="18"/>
                <w:szCs w:val="18"/>
              </w:rPr>
            </w:pPr>
            <w:r w:rsidRPr="00683F4F">
              <w:rPr>
                <w:rFonts w:ascii="Times New Roman" w:hAnsi="Times New Roman" w:cs="Times New Roman"/>
                <w:sz w:val="18"/>
                <w:szCs w:val="18"/>
              </w:rPr>
              <w:t>(Podlaga za račun)</w:t>
            </w:r>
          </w:p>
        </w:tc>
        <w:tc>
          <w:tcPr>
            <w:tcW w:w="1276" w:type="dxa"/>
            <w:vAlign w:val="center"/>
          </w:tcPr>
          <w:p w:rsidR="002506AE" w:rsidRPr="00683F4F" w:rsidRDefault="002506AE" w:rsidP="00802EFD">
            <w:pPr>
              <w:spacing w:after="40"/>
              <w:jc w:val="center"/>
              <w:rPr>
                <w:rFonts w:ascii="Times New Roman" w:hAnsi="Times New Roman" w:cs="Times New Roman"/>
                <w:sz w:val="18"/>
                <w:szCs w:val="18"/>
              </w:rPr>
            </w:pPr>
            <w:r w:rsidRPr="00683F4F">
              <w:rPr>
                <w:rFonts w:ascii="Times New Roman" w:hAnsi="Times New Roman" w:cs="Times New Roman"/>
                <w:sz w:val="18"/>
                <w:szCs w:val="18"/>
              </w:rPr>
              <w:t>Skupni zaračunani čas po normativu</w:t>
            </w:r>
          </w:p>
        </w:tc>
      </w:tr>
      <w:tr w:rsidR="002506AE" w:rsidRPr="001E299A" w:rsidTr="00683F4F">
        <w:tc>
          <w:tcPr>
            <w:tcW w:w="675" w:type="dxa"/>
          </w:tcPr>
          <w:p w:rsidR="002506AE" w:rsidRPr="001E299A" w:rsidRDefault="002506AE" w:rsidP="001C48A6">
            <w:pPr>
              <w:spacing w:after="40"/>
              <w:rPr>
                <w:rFonts w:ascii="Times New Roman" w:hAnsi="Times New Roman" w:cs="Times New Roman"/>
              </w:rPr>
            </w:pPr>
            <w:r w:rsidRPr="001E299A">
              <w:rPr>
                <w:rFonts w:ascii="Times New Roman" w:hAnsi="Times New Roman" w:cs="Times New Roman"/>
              </w:rPr>
              <w:t>1.27</w:t>
            </w:r>
          </w:p>
        </w:tc>
        <w:tc>
          <w:tcPr>
            <w:tcW w:w="2127" w:type="dxa"/>
          </w:tcPr>
          <w:p w:rsidR="002506AE" w:rsidRPr="001E299A" w:rsidRDefault="002506AE" w:rsidP="001C48A6">
            <w:pPr>
              <w:spacing w:after="40"/>
              <w:rPr>
                <w:rFonts w:ascii="Times New Roman" w:hAnsi="Times New Roman" w:cs="Times New Roman"/>
              </w:rPr>
            </w:pPr>
            <w:r w:rsidRPr="001E299A">
              <w:rPr>
                <w:rFonts w:ascii="Times New Roman" w:hAnsi="Times New Roman" w:cs="Times New Roman"/>
              </w:rPr>
              <w:t>Mehansko čiščenje</w:t>
            </w:r>
          </w:p>
          <w:p w:rsidR="002506AE" w:rsidRPr="001E299A" w:rsidRDefault="002506AE" w:rsidP="001C48A6">
            <w:pPr>
              <w:spacing w:after="40"/>
              <w:rPr>
                <w:rFonts w:ascii="Times New Roman" w:hAnsi="Times New Roman" w:cs="Times New Roman"/>
              </w:rPr>
            </w:pPr>
            <w:r w:rsidRPr="001E299A">
              <w:rPr>
                <w:rFonts w:ascii="Times New Roman" w:hAnsi="Times New Roman" w:cs="Times New Roman"/>
              </w:rPr>
              <w:t>zračnik, vertikalni del</w:t>
            </w:r>
          </w:p>
        </w:tc>
        <w:tc>
          <w:tcPr>
            <w:tcW w:w="850" w:type="dxa"/>
          </w:tcPr>
          <w:p w:rsidR="002506AE" w:rsidRPr="001E299A" w:rsidRDefault="002506AE" w:rsidP="001C48A6">
            <w:pPr>
              <w:spacing w:after="40"/>
              <w:rPr>
                <w:rFonts w:ascii="Times New Roman" w:hAnsi="Times New Roman" w:cs="Times New Roman"/>
              </w:rPr>
            </w:pPr>
            <w:r w:rsidRPr="001E299A">
              <w:rPr>
                <w:rFonts w:ascii="Times New Roman" w:hAnsi="Times New Roman" w:cs="Times New Roman"/>
              </w:rPr>
              <w:t>45,00</w:t>
            </w:r>
          </w:p>
        </w:tc>
        <w:tc>
          <w:tcPr>
            <w:tcW w:w="992" w:type="dxa"/>
          </w:tcPr>
          <w:p w:rsidR="002506AE" w:rsidRPr="001E299A" w:rsidRDefault="002506AE" w:rsidP="001C48A6">
            <w:pPr>
              <w:spacing w:after="40"/>
              <w:rPr>
                <w:rFonts w:ascii="Times New Roman" w:hAnsi="Times New Roman" w:cs="Times New Roman"/>
              </w:rPr>
            </w:pPr>
            <w:r w:rsidRPr="001E299A">
              <w:rPr>
                <w:rFonts w:ascii="Times New Roman" w:hAnsi="Times New Roman" w:cs="Times New Roman"/>
              </w:rPr>
              <w:t>Tuljava</w:t>
            </w:r>
          </w:p>
        </w:tc>
        <w:tc>
          <w:tcPr>
            <w:tcW w:w="993" w:type="dxa"/>
          </w:tcPr>
          <w:p w:rsidR="002506AE" w:rsidRPr="001E299A" w:rsidRDefault="002506AE" w:rsidP="001C48A6">
            <w:pPr>
              <w:spacing w:after="40"/>
              <w:jc w:val="right"/>
              <w:rPr>
                <w:rFonts w:ascii="Times New Roman" w:hAnsi="Times New Roman" w:cs="Times New Roman"/>
              </w:rPr>
            </w:pPr>
            <w:r w:rsidRPr="001E299A">
              <w:rPr>
                <w:rFonts w:ascii="Times New Roman" w:hAnsi="Times New Roman" w:cs="Times New Roman"/>
              </w:rPr>
              <w:t>15,84 %</w:t>
            </w:r>
          </w:p>
        </w:tc>
        <w:tc>
          <w:tcPr>
            <w:tcW w:w="1134" w:type="dxa"/>
          </w:tcPr>
          <w:p w:rsidR="002506AE" w:rsidRPr="001E299A" w:rsidRDefault="002506AE" w:rsidP="001C48A6">
            <w:pPr>
              <w:spacing w:after="40"/>
              <w:rPr>
                <w:rFonts w:ascii="Times New Roman" w:hAnsi="Times New Roman" w:cs="Times New Roman"/>
              </w:rPr>
            </w:pPr>
            <w:r w:rsidRPr="001E299A">
              <w:rPr>
                <w:rFonts w:ascii="Times New Roman" w:hAnsi="Times New Roman" w:cs="Times New Roman"/>
              </w:rPr>
              <w:t>19,01 min</w:t>
            </w:r>
          </w:p>
        </w:tc>
        <w:tc>
          <w:tcPr>
            <w:tcW w:w="1134" w:type="dxa"/>
          </w:tcPr>
          <w:p w:rsidR="002506AE" w:rsidRPr="001E299A" w:rsidRDefault="002506AE" w:rsidP="001C48A6">
            <w:pPr>
              <w:spacing w:after="40"/>
              <w:rPr>
                <w:rFonts w:ascii="Times New Roman" w:hAnsi="Times New Roman" w:cs="Times New Roman"/>
              </w:rPr>
            </w:pPr>
            <w:r w:rsidRPr="001E299A">
              <w:rPr>
                <w:rFonts w:ascii="Times New Roman" w:hAnsi="Times New Roman" w:cs="Times New Roman"/>
              </w:rPr>
              <w:t>25,35 sek</w:t>
            </w:r>
          </w:p>
        </w:tc>
        <w:tc>
          <w:tcPr>
            <w:tcW w:w="992" w:type="dxa"/>
          </w:tcPr>
          <w:p w:rsidR="002506AE" w:rsidRPr="001E299A" w:rsidRDefault="002506AE" w:rsidP="00C26474">
            <w:pPr>
              <w:spacing w:after="40"/>
              <w:rPr>
                <w:rFonts w:ascii="Times New Roman" w:hAnsi="Times New Roman" w:cs="Times New Roman"/>
              </w:rPr>
            </w:pPr>
            <w:r w:rsidRPr="001E299A">
              <w:rPr>
                <w:rFonts w:ascii="Times New Roman" w:hAnsi="Times New Roman" w:cs="Times New Roman"/>
              </w:rPr>
              <w:t>10,24 min</w:t>
            </w:r>
          </w:p>
        </w:tc>
        <w:tc>
          <w:tcPr>
            <w:tcW w:w="1276" w:type="dxa"/>
          </w:tcPr>
          <w:p w:rsidR="002506AE" w:rsidRPr="001E299A" w:rsidRDefault="002506AE" w:rsidP="00C26474">
            <w:pPr>
              <w:spacing w:after="40"/>
              <w:rPr>
                <w:rFonts w:ascii="Times New Roman" w:hAnsi="Times New Roman" w:cs="Times New Roman"/>
              </w:rPr>
            </w:pPr>
            <w:r w:rsidRPr="001E299A">
              <w:rPr>
                <w:rFonts w:ascii="Times New Roman" w:hAnsi="Times New Roman" w:cs="Times New Roman"/>
              </w:rPr>
              <w:t>460,71 min</w:t>
            </w:r>
          </w:p>
        </w:tc>
      </w:tr>
      <w:tr w:rsidR="002506AE" w:rsidRPr="001E299A" w:rsidTr="00683F4F">
        <w:tc>
          <w:tcPr>
            <w:tcW w:w="675" w:type="dxa"/>
          </w:tcPr>
          <w:p w:rsidR="002506AE" w:rsidRPr="001E299A" w:rsidRDefault="002506AE" w:rsidP="001C48A6">
            <w:pPr>
              <w:spacing w:after="40"/>
              <w:rPr>
                <w:rFonts w:ascii="Times New Roman" w:hAnsi="Times New Roman" w:cs="Times New Roman"/>
              </w:rPr>
            </w:pPr>
            <w:r w:rsidRPr="001E299A">
              <w:rPr>
                <w:rFonts w:ascii="Times New Roman" w:hAnsi="Times New Roman" w:cs="Times New Roman"/>
              </w:rPr>
              <w:t>2.16</w:t>
            </w:r>
          </w:p>
        </w:tc>
        <w:tc>
          <w:tcPr>
            <w:tcW w:w="2127" w:type="dxa"/>
          </w:tcPr>
          <w:p w:rsidR="002506AE" w:rsidRPr="001E299A" w:rsidRDefault="002506AE" w:rsidP="001C48A6">
            <w:pPr>
              <w:spacing w:after="40"/>
              <w:rPr>
                <w:rFonts w:ascii="Times New Roman" w:hAnsi="Times New Roman" w:cs="Times New Roman"/>
              </w:rPr>
            </w:pPr>
            <w:r w:rsidRPr="001E299A">
              <w:rPr>
                <w:rFonts w:ascii="Times New Roman" w:hAnsi="Times New Roman" w:cs="Times New Roman"/>
              </w:rPr>
              <w:t>Letni pregled</w:t>
            </w:r>
          </w:p>
          <w:p w:rsidR="002506AE" w:rsidRPr="001E299A" w:rsidRDefault="002506AE" w:rsidP="001C48A6">
            <w:pPr>
              <w:spacing w:after="40"/>
              <w:rPr>
                <w:rFonts w:ascii="Times New Roman" w:hAnsi="Times New Roman" w:cs="Times New Roman"/>
              </w:rPr>
            </w:pPr>
            <w:r w:rsidRPr="001E299A">
              <w:rPr>
                <w:rFonts w:ascii="Times New Roman" w:hAnsi="Times New Roman" w:cs="Times New Roman"/>
              </w:rPr>
              <w:t>zračnik tuljava,vertikalni del</w:t>
            </w:r>
          </w:p>
        </w:tc>
        <w:tc>
          <w:tcPr>
            <w:tcW w:w="850" w:type="dxa"/>
          </w:tcPr>
          <w:p w:rsidR="002506AE" w:rsidRPr="001E299A" w:rsidRDefault="002506AE" w:rsidP="001C48A6">
            <w:pPr>
              <w:spacing w:after="40"/>
              <w:rPr>
                <w:rFonts w:ascii="Times New Roman" w:hAnsi="Times New Roman" w:cs="Times New Roman"/>
              </w:rPr>
            </w:pPr>
            <w:r w:rsidRPr="001E299A">
              <w:rPr>
                <w:rFonts w:ascii="Times New Roman" w:hAnsi="Times New Roman" w:cs="Times New Roman"/>
              </w:rPr>
              <w:t>127,00</w:t>
            </w:r>
          </w:p>
        </w:tc>
        <w:tc>
          <w:tcPr>
            <w:tcW w:w="992" w:type="dxa"/>
          </w:tcPr>
          <w:p w:rsidR="002506AE" w:rsidRPr="001E299A" w:rsidRDefault="002506AE" w:rsidP="001C48A6">
            <w:pPr>
              <w:spacing w:after="40"/>
              <w:rPr>
                <w:rFonts w:ascii="Times New Roman" w:hAnsi="Times New Roman" w:cs="Times New Roman"/>
              </w:rPr>
            </w:pPr>
            <w:r w:rsidRPr="001E299A">
              <w:rPr>
                <w:rFonts w:ascii="Times New Roman" w:hAnsi="Times New Roman" w:cs="Times New Roman"/>
              </w:rPr>
              <w:t>Tuljava</w:t>
            </w:r>
          </w:p>
        </w:tc>
        <w:tc>
          <w:tcPr>
            <w:tcW w:w="993" w:type="dxa"/>
          </w:tcPr>
          <w:p w:rsidR="002506AE" w:rsidRPr="001E299A" w:rsidRDefault="002506AE" w:rsidP="001C48A6">
            <w:pPr>
              <w:spacing w:after="40"/>
              <w:jc w:val="right"/>
              <w:rPr>
                <w:rFonts w:ascii="Times New Roman" w:hAnsi="Times New Roman" w:cs="Times New Roman"/>
              </w:rPr>
            </w:pPr>
            <w:r w:rsidRPr="001E299A">
              <w:rPr>
                <w:rFonts w:ascii="Times New Roman" w:hAnsi="Times New Roman" w:cs="Times New Roman"/>
              </w:rPr>
              <w:t>73,35 %</w:t>
            </w:r>
          </w:p>
        </w:tc>
        <w:tc>
          <w:tcPr>
            <w:tcW w:w="1134" w:type="dxa"/>
          </w:tcPr>
          <w:p w:rsidR="002506AE" w:rsidRPr="001E299A" w:rsidRDefault="002506AE" w:rsidP="001C48A6">
            <w:pPr>
              <w:spacing w:after="40"/>
              <w:rPr>
                <w:rFonts w:ascii="Times New Roman" w:hAnsi="Times New Roman" w:cs="Times New Roman"/>
              </w:rPr>
            </w:pPr>
            <w:r w:rsidRPr="001E299A">
              <w:rPr>
                <w:rFonts w:ascii="Times New Roman" w:hAnsi="Times New Roman" w:cs="Times New Roman"/>
              </w:rPr>
              <w:t>88,03 min</w:t>
            </w:r>
          </w:p>
        </w:tc>
        <w:tc>
          <w:tcPr>
            <w:tcW w:w="1134" w:type="dxa"/>
          </w:tcPr>
          <w:p w:rsidR="002506AE" w:rsidRPr="001E299A" w:rsidRDefault="002506AE" w:rsidP="001C48A6">
            <w:pPr>
              <w:spacing w:after="40"/>
              <w:rPr>
                <w:rFonts w:ascii="Times New Roman" w:hAnsi="Times New Roman" w:cs="Times New Roman"/>
              </w:rPr>
            </w:pPr>
            <w:r w:rsidRPr="001E299A">
              <w:rPr>
                <w:rFonts w:ascii="Times New Roman" w:hAnsi="Times New Roman" w:cs="Times New Roman"/>
              </w:rPr>
              <w:t>41,59 sek</w:t>
            </w:r>
          </w:p>
        </w:tc>
        <w:tc>
          <w:tcPr>
            <w:tcW w:w="992" w:type="dxa"/>
          </w:tcPr>
          <w:p w:rsidR="002506AE" w:rsidRPr="001E299A" w:rsidRDefault="002506AE" w:rsidP="00C26474">
            <w:pPr>
              <w:spacing w:after="40"/>
              <w:rPr>
                <w:rFonts w:ascii="Times New Roman" w:hAnsi="Times New Roman" w:cs="Times New Roman"/>
              </w:rPr>
            </w:pPr>
            <w:r w:rsidRPr="001E299A">
              <w:rPr>
                <w:rFonts w:ascii="Times New Roman" w:hAnsi="Times New Roman" w:cs="Times New Roman"/>
              </w:rPr>
              <w:t>5,95 min</w:t>
            </w:r>
          </w:p>
        </w:tc>
        <w:tc>
          <w:tcPr>
            <w:tcW w:w="1276" w:type="dxa"/>
          </w:tcPr>
          <w:p w:rsidR="002506AE" w:rsidRPr="001E299A" w:rsidRDefault="002506AE" w:rsidP="00C26474">
            <w:pPr>
              <w:spacing w:after="40"/>
              <w:rPr>
                <w:rFonts w:ascii="Times New Roman" w:hAnsi="Times New Roman" w:cs="Times New Roman"/>
              </w:rPr>
            </w:pPr>
            <w:r w:rsidRPr="001E299A">
              <w:rPr>
                <w:rFonts w:ascii="Times New Roman" w:hAnsi="Times New Roman" w:cs="Times New Roman"/>
              </w:rPr>
              <w:t>755,95 min</w:t>
            </w:r>
          </w:p>
        </w:tc>
      </w:tr>
      <w:tr w:rsidR="002506AE" w:rsidRPr="001E299A" w:rsidTr="00683F4F">
        <w:tc>
          <w:tcPr>
            <w:tcW w:w="675" w:type="dxa"/>
            <w:tcBorders>
              <w:bottom w:val="single" w:sz="18" w:space="0" w:color="auto"/>
            </w:tcBorders>
          </w:tcPr>
          <w:p w:rsidR="002506AE" w:rsidRPr="001E299A" w:rsidRDefault="002506AE" w:rsidP="001C48A6">
            <w:pPr>
              <w:spacing w:after="40"/>
              <w:rPr>
                <w:rFonts w:ascii="Times New Roman" w:hAnsi="Times New Roman" w:cs="Times New Roman"/>
              </w:rPr>
            </w:pPr>
            <w:r w:rsidRPr="001E299A">
              <w:rPr>
                <w:rFonts w:ascii="Times New Roman" w:hAnsi="Times New Roman" w:cs="Times New Roman"/>
              </w:rPr>
              <w:t>1.17</w:t>
            </w:r>
          </w:p>
        </w:tc>
        <w:tc>
          <w:tcPr>
            <w:tcW w:w="2127" w:type="dxa"/>
            <w:tcBorders>
              <w:bottom w:val="single" w:sz="18" w:space="0" w:color="auto"/>
            </w:tcBorders>
          </w:tcPr>
          <w:p w:rsidR="002506AE" w:rsidRPr="001E299A" w:rsidRDefault="002506AE" w:rsidP="001C48A6">
            <w:pPr>
              <w:spacing w:after="40"/>
              <w:rPr>
                <w:rFonts w:ascii="Times New Roman" w:hAnsi="Times New Roman" w:cs="Times New Roman"/>
              </w:rPr>
            </w:pPr>
            <w:r w:rsidRPr="001E299A">
              <w:rPr>
                <w:rFonts w:ascii="Times New Roman" w:hAnsi="Times New Roman" w:cs="Times New Roman"/>
              </w:rPr>
              <w:t>Mehansko čiščenje</w:t>
            </w:r>
          </w:p>
          <w:p w:rsidR="002506AE" w:rsidRPr="001E299A" w:rsidRDefault="002506AE" w:rsidP="001C48A6">
            <w:pPr>
              <w:spacing w:after="40"/>
              <w:rPr>
                <w:rFonts w:ascii="Times New Roman" w:hAnsi="Times New Roman" w:cs="Times New Roman"/>
              </w:rPr>
            </w:pPr>
            <w:r w:rsidRPr="001E299A">
              <w:rPr>
                <w:rFonts w:ascii="Times New Roman" w:hAnsi="Times New Roman" w:cs="Times New Roman"/>
              </w:rPr>
              <w:t>Samostojni dimnik do vključno fi 20 cm</w:t>
            </w:r>
          </w:p>
        </w:tc>
        <w:tc>
          <w:tcPr>
            <w:tcW w:w="850" w:type="dxa"/>
            <w:tcBorders>
              <w:bottom w:val="single" w:sz="18" w:space="0" w:color="auto"/>
            </w:tcBorders>
          </w:tcPr>
          <w:p w:rsidR="002506AE" w:rsidRPr="001E299A" w:rsidRDefault="002506AE" w:rsidP="001C48A6">
            <w:pPr>
              <w:spacing w:after="40"/>
              <w:rPr>
                <w:rFonts w:ascii="Times New Roman" w:hAnsi="Times New Roman" w:cs="Times New Roman"/>
              </w:rPr>
            </w:pPr>
            <w:r w:rsidRPr="001E299A">
              <w:rPr>
                <w:rFonts w:ascii="Times New Roman" w:hAnsi="Times New Roman" w:cs="Times New Roman"/>
              </w:rPr>
              <w:t>32,00</w:t>
            </w:r>
          </w:p>
        </w:tc>
        <w:tc>
          <w:tcPr>
            <w:tcW w:w="992" w:type="dxa"/>
            <w:tcBorders>
              <w:bottom w:val="single" w:sz="18" w:space="0" w:color="auto"/>
            </w:tcBorders>
          </w:tcPr>
          <w:p w:rsidR="002506AE" w:rsidRPr="001E299A" w:rsidRDefault="002506AE" w:rsidP="001C48A6">
            <w:pPr>
              <w:spacing w:after="40"/>
              <w:rPr>
                <w:rFonts w:ascii="Times New Roman" w:hAnsi="Times New Roman" w:cs="Times New Roman"/>
              </w:rPr>
            </w:pPr>
            <w:r w:rsidRPr="001E299A">
              <w:rPr>
                <w:rFonts w:ascii="Times New Roman" w:hAnsi="Times New Roman" w:cs="Times New Roman"/>
              </w:rPr>
              <w:t>Tuljava</w:t>
            </w:r>
          </w:p>
        </w:tc>
        <w:tc>
          <w:tcPr>
            <w:tcW w:w="993" w:type="dxa"/>
            <w:tcBorders>
              <w:bottom w:val="single" w:sz="18" w:space="0" w:color="auto"/>
            </w:tcBorders>
          </w:tcPr>
          <w:p w:rsidR="002506AE" w:rsidRPr="001E299A" w:rsidRDefault="002506AE" w:rsidP="001C48A6">
            <w:pPr>
              <w:spacing w:after="40"/>
              <w:jc w:val="right"/>
              <w:rPr>
                <w:rFonts w:ascii="Times New Roman" w:hAnsi="Times New Roman" w:cs="Times New Roman"/>
              </w:rPr>
            </w:pPr>
            <w:r w:rsidRPr="001E299A">
              <w:rPr>
                <w:rFonts w:ascii="Times New Roman" w:hAnsi="Times New Roman" w:cs="Times New Roman"/>
              </w:rPr>
              <w:t>10,80 %</w:t>
            </w:r>
          </w:p>
        </w:tc>
        <w:tc>
          <w:tcPr>
            <w:tcW w:w="1134" w:type="dxa"/>
            <w:tcBorders>
              <w:bottom w:val="single" w:sz="18" w:space="0" w:color="auto"/>
            </w:tcBorders>
          </w:tcPr>
          <w:p w:rsidR="002506AE" w:rsidRPr="001E299A" w:rsidRDefault="002506AE" w:rsidP="001C48A6">
            <w:pPr>
              <w:spacing w:after="40"/>
              <w:rPr>
                <w:rFonts w:ascii="Times New Roman" w:hAnsi="Times New Roman" w:cs="Times New Roman"/>
              </w:rPr>
            </w:pPr>
            <w:r w:rsidRPr="001E299A">
              <w:rPr>
                <w:rFonts w:ascii="Times New Roman" w:hAnsi="Times New Roman" w:cs="Times New Roman"/>
              </w:rPr>
              <w:t>12,97 min</w:t>
            </w:r>
          </w:p>
        </w:tc>
        <w:tc>
          <w:tcPr>
            <w:tcW w:w="1134" w:type="dxa"/>
            <w:tcBorders>
              <w:bottom w:val="single" w:sz="18" w:space="0" w:color="auto"/>
            </w:tcBorders>
          </w:tcPr>
          <w:p w:rsidR="002506AE" w:rsidRPr="001E299A" w:rsidRDefault="002506AE" w:rsidP="001C48A6">
            <w:pPr>
              <w:spacing w:after="40"/>
              <w:rPr>
                <w:rFonts w:ascii="Times New Roman" w:hAnsi="Times New Roman" w:cs="Times New Roman"/>
              </w:rPr>
            </w:pPr>
            <w:r w:rsidRPr="001E299A">
              <w:rPr>
                <w:rFonts w:ascii="Times New Roman" w:hAnsi="Times New Roman" w:cs="Times New Roman"/>
              </w:rPr>
              <w:t>24,31 sek</w:t>
            </w:r>
          </w:p>
        </w:tc>
        <w:tc>
          <w:tcPr>
            <w:tcW w:w="992" w:type="dxa"/>
            <w:tcBorders>
              <w:bottom w:val="single" w:sz="18" w:space="0" w:color="auto"/>
            </w:tcBorders>
          </w:tcPr>
          <w:p w:rsidR="002506AE" w:rsidRPr="001E299A" w:rsidRDefault="002506AE" w:rsidP="00C26474">
            <w:pPr>
              <w:spacing w:after="40"/>
              <w:rPr>
                <w:rFonts w:ascii="Times New Roman" w:hAnsi="Times New Roman" w:cs="Times New Roman"/>
              </w:rPr>
            </w:pPr>
            <w:r w:rsidRPr="001E299A">
              <w:rPr>
                <w:rFonts w:ascii="Times New Roman" w:hAnsi="Times New Roman" w:cs="Times New Roman"/>
              </w:rPr>
              <w:t>13,81 min</w:t>
            </w:r>
          </w:p>
        </w:tc>
        <w:tc>
          <w:tcPr>
            <w:tcW w:w="1276" w:type="dxa"/>
            <w:tcBorders>
              <w:bottom w:val="single" w:sz="18" w:space="0" w:color="auto"/>
            </w:tcBorders>
          </w:tcPr>
          <w:p w:rsidR="002506AE" w:rsidRPr="001E299A" w:rsidRDefault="002506AE" w:rsidP="00C26474">
            <w:pPr>
              <w:spacing w:after="40"/>
              <w:rPr>
                <w:rFonts w:ascii="Times New Roman" w:hAnsi="Times New Roman" w:cs="Times New Roman"/>
              </w:rPr>
            </w:pPr>
            <w:r w:rsidRPr="001E299A">
              <w:rPr>
                <w:rFonts w:ascii="Times New Roman" w:hAnsi="Times New Roman" w:cs="Times New Roman"/>
              </w:rPr>
              <w:t>441,90 min</w:t>
            </w:r>
          </w:p>
        </w:tc>
      </w:tr>
      <w:tr w:rsidR="002506AE" w:rsidRPr="001E299A" w:rsidTr="00683F4F">
        <w:tc>
          <w:tcPr>
            <w:tcW w:w="675" w:type="dxa"/>
            <w:tcBorders>
              <w:top w:val="single" w:sz="18" w:space="0" w:color="auto"/>
              <w:left w:val="single" w:sz="2" w:space="0" w:color="auto"/>
              <w:bottom w:val="single" w:sz="2" w:space="0" w:color="auto"/>
              <w:right w:val="single" w:sz="2" w:space="0" w:color="auto"/>
            </w:tcBorders>
          </w:tcPr>
          <w:p w:rsidR="002506AE" w:rsidRPr="001E299A" w:rsidRDefault="002506AE" w:rsidP="001C48A6">
            <w:pPr>
              <w:spacing w:after="40"/>
              <w:rPr>
                <w:rFonts w:ascii="Times New Roman" w:hAnsi="Times New Roman" w:cs="Times New Roman"/>
              </w:rPr>
            </w:pPr>
          </w:p>
        </w:tc>
        <w:tc>
          <w:tcPr>
            <w:tcW w:w="2127" w:type="dxa"/>
            <w:tcBorders>
              <w:top w:val="single" w:sz="18" w:space="0" w:color="auto"/>
              <w:left w:val="single" w:sz="2" w:space="0" w:color="auto"/>
              <w:bottom w:val="single" w:sz="2" w:space="0" w:color="auto"/>
              <w:right w:val="single" w:sz="2" w:space="0" w:color="auto"/>
            </w:tcBorders>
          </w:tcPr>
          <w:p w:rsidR="002506AE" w:rsidRPr="001E299A" w:rsidRDefault="002506AE" w:rsidP="001C48A6">
            <w:pPr>
              <w:spacing w:after="40"/>
              <w:rPr>
                <w:rFonts w:ascii="Times New Roman" w:hAnsi="Times New Roman" w:cs="Times New Roman"/>
              </w:rPr>
            </w:pPr>
          </w:p>
        </w:tc>
        <w:tc>
          <w:tcPr>
            <w:tcW w:w="850" w:type="dxa"/>
            <w:tcBorders>
              <w:top w:val="single" w:sz="18" w:space="0" w:color="auto"/>
              <w:left w:val="single" w:sz="2" w:space="0" w:color="auto"/>
              <w:bottom w:val="single" w:sz="2" w:space="0" w:color="auto"/>
              <w:right w:val="single" w:sz="2" w:space="0" w:color="auto"/>
            </w:tcBorders>
          </w:tcPr>
          <w:p w:rsidR="002506AE" w:rsidRPr="001E299A" w:rsidRDefault="002506AE" w:rsidP="001C48A6">
            <w:pPr>
              <w:spacing w:after="40"/>
              <w:rPr>
                <w:rFonts w:ascii="Times New Roman" w:hAnsi="Times New Roman" w:cs="Times New Roman"/>
              </w:rPr>
            </w:pPr>
          </w:p>
        </w:tc>
        <w:tc>
          <w:tcPr>
            <w:tcW w:w="992" w:type="dxa"/>
            <w:tcBorders>
              <w:top w:val="single" w:sz="18" w:space="0" w:color="auto"/>
              <w:left w:val="single" w:sz="2" w:space="0" w:color="auto"/>
              <w:bottom w:val="single" w:sz="2" w:space="0" w:color="auto"/>
              <w:right w:val="single" w:sz="2" w:space="0" w:color="auto"/>
            </w:tcBorders>
          </w:tcPr>
          <w:p w:rsidR="002506AE" w:rsidRPr="00683F4F" w:rsidRDefault="002506AE" w:rsidP="00105299">
            <w:pPr>
              <w:spacing w:after="40"/>
              <w:rPr>
                <w:rFonts w:ascii="Times New Roman" w:hAnsi="Times New Roman" w:cs="Times New Roman"/>
                <w:b/>
                <w:sz w:val="18"/>
                <w:szCs w:val="18"/>
              </w:rPr>
            </w:pPr>
            <w:r w:rsidRPr="00683F4F">
              <w:rPr>
                <w:rFonts w:ascii="Times New Roman" w:hAnsi="Times New Roman" w:cs="Times New Roman"/>
                <w:b/>
                <w:sz w:val="18"/>
                <w:szCs w:val="18"/>
              </w:rPr>
              <w:t>SKUPAJ</w:t>
            </w:r>
            <w:r w:rsidR="00105299" w:rsidRPr="00683F4F">
              <w:rPr>
                <w:rFonts w:ascii="Times New Roman" w:hAnsi="Times New Roman" w:cs="Times New Roman"/>
                <w:b/>
                <w:sz w:val="18"/>
                <w:szCs w:val="18"/>
              </w:rPr>
              <w:t xml:space="preserve"> DEJANSKO:</w:t>
            </w:r>
          </w:p>
        </w:tc>
        <w:tc>
          <w:tcPr>
            <w:tcW w:w="993" w:type="dxa"/>
            <w:tcBorders>
              <w:top w:val="single" w:sz="18" w:space="0" w:color="auto"/>
              <w:left w:val="single" w:sz="2" w:space="0" w:color="auto"/>
              <w:bottom w:val="single" w:sz="2" w:space="0" w:color="auto"/>
              <w:right w:val="single" w:sz="2" w:space="0" w:color="auto"/>
            </w:tcBorders>
          </w:tcPr>
          <w:p w:rsidR="002506AE" w:rsidRPr="001E299A" w:rsidRDefault="002506AE" w:rsidP="001C48A6">
            <w:pPr>
              <w:spacing w:after="40"/>
              <w:jc w:val="right"/>
              <w:rPr>
                <w:rFonts w:ascii="Times New Roman" w:hAnsi="Times New Roman" w:cs="Times New Roman"/>
              </w:rPr>
            </w:pPr>
            <w:r w:rsidRPr="001E299A">
              <w:rPr>
                <w:rFonts w:ascii="Times New Roman" w:hAnsi="Times New Roman" w:cs="Times New Roman"/>
              </w:rPr>
              <w:t>100,00%</w:t>
            </w:r>
          </w:p>
        </w:tc>
        <w:tc>
          <w:tcPr>
            <w:tcW w:w="1134" w:type="dxa"/>
            <w:tcBorders>
              <w:top w:val="single" w:sz="18" w:space="0" w:color="auto"/>
              <w:left w:val="single" w:sz="2" w:space="0" w:color="auto"/>
              <w:bottom w:val="single" w:sz="2" w:space="0" w:color="auto"/>
              <w:right w:val="single" w:sz="2" w:space="0" w:color="auto"/>
            </w:tcBorders>
          </w:tcPr>
          <w:p w:rsidR="002506AE" w:rsidRPr="001E299A" w:rsidRDefault="002506AE" w:rsidP="001C48A6">
            <w:pPr>
              <w:spacing w:after="40"/>
              <w:rPr>
                <w:rFonts w:ascii="Times New Roman" w:hAnsi="Times New Roman" w:cs="Times New Roman"/>
                <w:b/>
              </w:rPr>
            </w:pPr>
            <w:r w:rsidRPr="001E299A">
              <w:rPr>
                <w:rFonts w:ascii="Times New Roman" w:hAnsi="Times New Roman" w:cs="Times New Roman"/>
                <w:b/>
              </w:rPr>
              <w:t>2,00 ure</w:t>
            </w:r>
          </w:p>
        </w:tc>
        <w:tc>
          <w:tcPr>
            <w:tcW w:w="1134" w:type="dxa"/>
            <w:tcBorders>
              <w:top w:val="single" w:sz="18" w:space="0" w:color="auto"/>
              <w:left w:val="single" w:sz="2" w:space="0" w:color="auto"/>
              <w:bottom w:val="single" w:sz="2" w:space="0" w:color="auto"/>
              <w:right w:val="single" w:sz="2" w:space="0" w:color="auto"/>
            </w:tcBorders>
          </w:tcPr>
          <w:p w:rsidR="002506AE" w:rsidRPr="001E299A" w:rsidRDefault="002506AE" w:rsidP="001C48A6">
            <w:pPr>
              <w:spacing w:after="40"/>
              <w:rPr>
                <w:rFonts w:ascii="Times New Roman" w:hAnsi="Times New Roman" w:cs="Times New Roman"/>
              </w:rPr>
            </w:pPr>
          </w:p>
        </w:tc>
        <w:tc>
          <w:tcPr>
            <w:tcW w:w="992" w:type="dxa"/>
            <w:tcBorders>
              <w:top w:val="single" w:sz="18" w:space="0" w:color="auto"/>
              <w:left w:val="single" w:sz="2" w:space="0" w:color="auto"/>
              <w:bottom w:val="single" w:sz="2" w:space="0" w:color="auto"/>
              <w:right w:val="single" w:sz="2" w:space="0" w:color="auto"/>
            </w:tcBorders>
          </w:tcPr>
          <w:p w:rsidR="002506AE" w:rsidRPr="00683F4F" w:rsidRDefault="002506AE" w:rsidP="00C26474">
            <w:pPr>
              <w:spacing w:after="40"/>
              <w:rPr>
                <w:rFonts w:ascii="Times New Roman" w:hAnsi="Times New Roman" w:cs="Times New Roman"/>
                <w:b/>
                <w:sz w:val="18"/>
                <w:szCs w:val="18"/>
              </w:rPr>
            </w:pPr>
            <w:r w:rsidRPr="00683F4F">
              <w:rPr>
                <w:rFonts w:ascii="Times New Roman" w:hAnsi="Times New Roman" w:cs="Times New Roman"/>
                <w:b/>
                <w:sz w:val="18"/>
                <w:szCs w:val="18"/>
              </w:rPr>
              <w:t>SKUPAJ</w:t>
            </w:r>
            <w:r w:rsidR="00105299" w:rsidRPr="00683F4F">
              <w:rPr>
                <w:rFonts w:ascii="Times New Roman" w:hAnsi="Times New Roman" w:cs="Times New Roman"/>
                <w:b/>
                <w:sz w:val="18"/>
                <w:szCs w:val="18"/>
              </w:rPr>
              <w:t xml:space="preserve"> NORMIRANO-ZARAČUNANO:</w:t>
            </w:r>
          </w:p>
        </w:tc>
        <w:tc>
          <w:tcPr>
            <w:tcW w:w="1276" w:type="dxa"/>
            <w:tcBorders>
              <w:top w:val="single" w:sz="18" w:space="0" w:color="auto"/>
              <w:left w:val="single" w:sz="2" w:space="0" w:color="auto"/>
              <w:bottom w:val="single" w:sz="2" w:space="0" w:color="auto"/>
              <w:right w:val="single" w:sz="2" w:space="0" w:color="auto"/>
            </w:tcBorders>
          </w:tcPr>
          <w:p w:rsidR="002506AE" w:rsidRPr="001E299A" w:rsidRDefault="002506AE" w:rsidP="00C26474">
            <w:pPr>
              <w:spacing w:after="40"/>
              <w:rPr>
                <w:rFonts w:ascii="Times New Roman" w:hAnsi="Times New Roman" w:cs="Times New Roman"/>
                <w:b/>
              </w:rPr>
            </w:pPr>
            <w:r w:rsidRPr="001E299A">
              <w:rPr>
                <w:rFonts w:ascii="Times New Roman" w:hAnsi="Times New Roman" w:cs="Times New Roman"/>
                <w:b/>
              </w:rPr>
              <w:t>27,64 ur</w:t>
            </w:r>
          </w:p>
        </w:tc>
      </w:tr>
    </w:tbl>
    <w:p w:rsidR="00991CBF" w:rsidRPr="001E299A" w:rsidRDefault="00991CBF" w:rsidP="00C26474">
      <w:pPr>
        <w:spacing w:after="40"/>
        <w:rPr>
          <w:rFonts w:ascii="Times New Roman" w:hAnsi="Times New Roman" w:cs="Times New Roman"/>
        </w:rPr>
      </w:pPr>
    </w:p>
    <w:p w:rsidR="001E299A" w:rsidRDefault="001E299A" w:rsidP="001E299A">
      <w:pPr>
        <w:shd w:val="clear" w:color="auto" w:fill="FFFFFF"/>
        <w:spacing w:afterLines="40" w:line="360" w:lineRule="atLeast"/>
        <w:rPr>
          <w:rFonts w:ascii="Times New Roman" w:hAnsi="Times New Roman" w:cs="Times New Roman"/>
        </w:rPr>
      </w:pPr>
      <w:r w:rsidRPr="001E299A">
        <w:rPr>
          <w:rFonts w:ascii="Times New Roman" w:hAnsi="Times New Roman" w:cs="Times New Roman"/>
        </w:rPr>
        <w:t xml:space="preserve">Ker je vlada RS sprejela  </w:t>
      </w:r>
      <w:r w:rsidRPr="007C45BE">
        <w:rPr>
          <w:rFonts w:ascii="Times New Roman" w:eastAsia="Times New Roman" w:hAnsi="Times New Roman" w:cs="Times New Roman"/>
          <w:b/>
          <w:bCs/>
          <w:lang w:eastAsia="sl-SI"/>
        </w:rPr>
        <w:t>S K L E P  o ceniku dimnikarskih storitev</w:t>
      </w:r>
      <w:r w:rsidRPr="001E299A">
        <w:rPr>
          <w:rFonts w:ascii="Times New Roman" w:eastAsia="Times New Roman" w:hAnsi="Times New Roman" w:cs="Times New Roman"/>
          <w:b/>
          <w:bCs/>
          <w:sz w:val="23"/>
          <w:szCs w:val="23"/>
          <w:lang w:eastAsia="sl-SI"/>
        </w:rPr>
        <w:t xml:space="preserve"> (</w:t>
      </w:r>
      <w:r w:rsidRPr="001E299A">
        <w:rPr>
          <w:rFonts w:ascii="Times New Roman" w:eastAsia="Times New Roman" w:hAnsi="Times New Roman" w:cs="Times New Roman"/>
          <w:sz w:val="18"/>
          <w:lang w:eastAsia="sl-SI"/>
        </w:rPr>
        <w:t> </w:t>
      </w:r>
      <w:hyperlink r:id="rId5" w:anchor="!/Uradni-list-RS-st-57-2010-z-dne-16-7-2010" w:tooltip="Uradni list RS, št. 57/2010 z dne 16. 7. 2010" w:history="1">
        <w:r w:rsidRPr="001E299A">
          <w:rPr>
            <w:rFonts w:ascii="Times New Roman" w:eastAsia="Times New Roman" w:hAnsi="Times New Roman" w:cs="Times New Roman"/>
            <w:sz w:val="18"/>
            <w:u w:val="single"/>
            <w:lang w:eastAsia="sl-SI"/>
          </w:rPr>
          <w:t>Uradni list RS, št. 57/2010 </w:t>
        </w:r>
        <w:r w:rsidRPr="001E299A">
          <w:rPr>
            <w:rFonts w:ascii="Times New Roman" w:eastAsia="Times New Roman" w:hAnsi="Times New Roman" w:cs="Times New Roman"/>
            <w:sz w:val="18"/>
            <w:szCs w:val="18"/>
            <w:u w:val="single"/>
            <w:lang w:eastAsia="sl-SI"/>
          </w:rPr>
          <w:t xml:space="preserve"> </w:t>
        </w:r>
        <w:r w:rsidRPr="001E299A">
          <w:rPr>
            <w:rFonts w:ascii="Times New Roman" w:eastAsia="Times New Roman" w:hAnsi="Times New Roman" w:cs="Times New Roman"/>
            <w:sz w:val="18"/>
            <w:u w:val="single"/>
            <w:lang w:eastAsia="sl-SI"/>
          </w:rPr>
          <w:t>z dne 16. 7. 2010</w:t>
        </w:r>
      </w:hyperlink>
      <w:r w:rsidRPr="001E299A">
        <w:rPr>
          <w:rFonts w:ascii="Times New Roman" w:hAnsi="Times New Roman" w:cs="Times New Roman"/>
        </w:rPr>
        <w:t>)  bi bilo primerno, da sprejme tudi s</w:t>
      </w:r>
      <w:r w:rsidR="00683F4F">
        <w:rPr>
          <w:rFonts w:ascii="Times New Roman" w:hAnsi="Times New Roman" w:cs="Times New Roman"/>
        </w:rPr>
        <w:t>klep, s katerim bi preprečila n</w:t>
      </w:r>
      <w:r w:rsidRPr="001E299A">
        <w:rPr>
          <w:rFonts w:ascii="Times New Roman" w:hAnsi="Times New Roman" w:cs="Times New Roman"/>
        </w:rPr>
        <w:t>eupravičeno zaračunavanje dimnikarskih storitev na način, ki je izven normalnih okvirov.</w:t>
      </w:r>
      <w:r w:rsidR="0000348C">
        <w:rPr>
          <w:rFonts w:ascii="Times New Roman" w:hAnsi="Times New Roman" w:cs="Times New Roman"/>
        </w:rPr>
        <w:t xml:space="preserve"> Opisan primer prikazuje, kako se sicer (verjetno)  pravilna cena za enoto, če se izvede posamično ali v manjšem številu, spremeni v absurd pri množenju teh enot na eni lokaciji.</w:t>
      </w:r>
      <w:r w:rsidRPr="001E299A">
        <w:rPr>
          <w:rFonts w:ascii="Times New Roman" w:hAnsi="Times New Roman" w:cs="Times New Roman"/>
        </w:rPr>
        <w:t xml:space="preserve"> Ena od možnosti je, da </w:t>
      </w:r>
      <w:r w:rsidR="0000348C">
        <w:rPr>
          <w:rFonts w:ascii="Times New Roman" w:hAnsi="Times New Roman" w:cs="Times New Roman"/>
        </w:rPr>
        <w:t xml:space="preserve">vlada </w:t>
      </w:r>
      <w:r w:rsidRPr="001E299A">
        <w:rPr>
          <w:rFonts w:ascii="Times New Roman" w:hAnsi="Times New Roman" w:cs="Times New Roman"/>
        </w:rPr>
        <w:t>sprejme sklep, ki bo določal, da se pri v primeru več kot 5 (petih)  zračnikov in več kot 5 (petih) dimnikov na enem objektu izvedeno delo  obračunava po opravljenih urah</w:t>
      </w:r>
      <w:r w:rsidR="00683F4F">
        <w:rPr>
          <w:rFonts w:ascii="Times New Roman" w:hAnsi="Times New Roman" w:cs="Times New Roman"/>
        </w:rPr>
        <w:t xml:space="preserve"> in prizani ceni urne postavke</w:t>
      </w:r>
      <w:r w:rsidRPr="001E299A">
        <w:rPr>
          <w:rFonts w:ascii="Times New Roman" w:hAnsi="Times New Roman" w:cs="Times New Roman"/>
        </w:rPr>
        <w:t>, ki jih potrdi tudi naročnik.</w:t>
      </w:r>
    </w:p>
    <w:p w:rsidR="007C45BE" w:rsidRPr="001E299A" w:rsidRDefault="007C45BE" w:rsidP="001E299A">
      <w:pPr>
        <w:shd w:val="clear" w:color="auto" w:fill="FFFFFF"/>
        <w:spacing w:afterLines="40" w:line="360" w:lineRule="atLeast"/>
        <w:rPr>
          <w:rFonts w:ascii="Times New Roman" w:eastAsia="Times New Roman" w:hAnsi="Times New Roman" w:cs="Times New Roman"/>
          <w:b/>
          <w:bCs/>
          <w:sz w:val="23"/>
          <w:szCs w:val="23"/>
          <w:lang w:eastAsia="sl-SI"/>
        </w:rPr>
      </w:pPr>
      <w:r>
        <w:rPr>
          <w:rFonts w:ascii="Times New Roman" w:hAnsi="Times New Roman" w:cs="Times New Roman"/>
        </w:rPr>
        <w:t>Pričakujem sicer, da vlada tega predloga ne bo akceptirala, ker bi se s tem namreč tudi zmanjšala absolutna vrednost DDV-ja, kar pa verjetno ni v interesu vlade.</w:t>
      </w:r>
    </w:p>
    <w:p w:rsidR="00991CBF" w:rsidRPr="001E299A" w:rsidRDefault="00991CBF" w:rsidP="001E299A">
      <w:pPr>
        <w:spacing w:after="40"/>
        <w:rPr>
          <w:rFonts w:ascii="Times New Roman" w:hAnsi="Times New Roman" w:cs="Times New Roman"/>
        </w:rPr>
      </w:pPr>
    </w:p>
    <w:p w:rsidR="00991CBF" w:rsidRPr="001E299A" w:rsidRDefault="00991CBF" w:rsidP="00C26474">
      <w:pPr>
        <w:spacing w:after="40"/>
        <w:rPr>
          <w:rFonts w:ascii="Times New Roman" w:hAnsi="Times New Roman" w:cs="Times New Roman"/>
        </w:rPr>
      </w:pPr>
    </w:p>
    <w:p w:rsidR="00105299" w:rsidRPr="001E299A" w:rsidRDefault="00711FD3" w:rsidP="00711FD3">
      <w:pPr>
        <w:spacing w:after="0" w:line="240" w:lineRule="auto"/>
        <w:rPr>
          <w:rFonts w:ascii="Times New Roman" w:eastAsia="Times New Roman" w:hAnsi="Times New Roman" w:cs="Times New Roman"/>
          <w:b/>
          <w:bCs/>
          <w:color w:val="626060"/>
          <w:sz w:val="18"/>
          <w:szCs w:val="18"/>
          <w:lang w:eastAsia="sl-SI"/>
        </w:rPr>
      </w:pPr>
      <w:r w:rsidRPr="001E299A">
        <w:rPr>
          <w:rFonts w:ascii="Times New Roman" w:eastAsia="Times New Roman" w:hAnsi="Times New Roman" w:cs="Times New Roman"/>
          <w:b/>
          <w:bCs/>
          <w:color w:val="626060"/>
          <w:sz w:val="18"/>
          <w:szCs w:val="18"/>
          <w:lang w:eastAsia="sl-SI"/>
        </w:rPr>
        <w:br/>
      </w:r>
    </w:p>
    <w:p w:rsidR="00105299" w:rsidRPr="001E299A" w:rsidRDefault="00105299" w:rsidP="00711FD3">
      <w:pPr>
        <w:spacing w:after="0" w:line="240" w:lineRule="auto"/>
        <w:rPr>
          <w:rFonts w:ascii="Times New Roman" w:eastAsia="Times New Roman" w:hAnsi="Times New Roman" w:cs="Times New Roman"/>
          <w:b/>
          <w:bCs/>
          <w:color w:val="626060"/>
          <w:sz w:val="18"/>
          <w:szCs w:val="18"/>
          <w:lang w:eastAsia="sl-SI"/>
        </w:rPr>
      </w:pPr>
    </w:p>
    <w:p w:rsidR="007C45BE" w:rsidRDefault="007C45BE" w:rsidP="00711FD3">
      <w:pPr>
        <w:spacing w:after="0" w:line="240" w:lineRule="auto"/>
        <w:rPr>
          <w:rFonts w:ascii="Times New Roman" w:eastAsia="Times New Roman" w:hAnsi="Times New Roman" w:cs="Times New Roman"/>
          <w:b/>
          <w:bCs/>
          <w:color w:val="626060"/>
          <w:sz w:val="18"/>
          <w:szCs w:val="18"/>
          <w:lang w:eastAsia="sl-SI"/>
        </w:rPr>
      </w:pPr>
    </w:p>
    <w:p w:rsidR="007C45BE" w:rsidRDefault="007C45BE" w:rsidP="00711FD3">
      <w:pPr>
        <w:spacing w:after="0" w:line="240" w:lineRule="auto"/>
        <w:rPr>
          <w:rFonts w:ascii="Times New Roman" w:eastAsia="Times New Roman" w:hAnsi="Times New Roman" w:cs="Times New Roman"/>
          <w:b/>
          <w:bCs/>
          <w:color w:val="626060"/>
          <w:sz w:val="18"/>
          <w:szCs w:val="18"/>
          <w:lang w:eastAsia="sl-SI"/>
        </w:rPr>
      </w:pPr>
    </w:p>
    <w:p w:rsidR="007C45BE" w:rsidRDefault="007C45BE" w:rsidP="00711FD3">
      <w:pPr>
        <w:spacing w:after="0" w:line="240" w:lineRule="auto"/>
        <w:rPr>
          <w:rFonts w:ascii="Times New Roman" w:eastAsia="Times New Roman" w:hAnsi="Times New Roman" w:cs="Times New Roman"/>
          <w:b/>
          <w:bCs/>
          <w:color w:val="626060"/>
          <w:sz w:val="18"/>
          <w:szCs w:val="18"/>
          <w:lang w:eastAsia="sl-SI"/>
        </w:rPr>
      </w:pPr>
    </w:p>
    <w:p w:rsidR="007C45BE" w:rsidRDefault="007C45BE" w:rsidP="00711FD3">
      <w:pPr>
        <w:spacing w:after="0" w:line="240" w:lineRule="auto"/>
        <w:rPr>
          <w:rFonts w:ascii="Times New Roman" w:eastAsia="Times New Roman" w:hAnsi="Times New Roman" w:cs="Times New Roman"/>
          <w:b/>
          <w:bCs/>
          <w:color w:val="626060"/>
          <w:sz w:val="18"/>
          <w:szCs w:val="18"/>
          <w:lang w:eastAsia="sl-SI"/>
        </w:rPr>
      </w:pPr>
    </w:p>
    <w:p w:rsidR="007C45BE" w:rsidRDefault="007C45BE" w:rsidP="00711FD3">
      <w:pPr>
        <w:spacing w:after="0" w:line="240" w:lineRule="auto"/>
        <w:rPr>
          <w:rFonts w:ascii="Times New Roman" w:eastAsia="Times New Roman" w:hAnsi="Times New Roman" w:cs="Times New Roman"/>
          <w:b/>
          <w:bCs/>
          <w:color w:val="626060"/>
          <w:sz w:val="18"/>
          <w:szCs w:val="18"/>
          <w:lang w:eastAsia="sl-SI"/>
        </w:rPr>
      </w:pPr>
    </w:p>
    <w:p w:rsidR="007C45BE" w:rsidRDefault="007C45BE" w:rsidP="00711FD3">
      <w:pPr>
        <w:spacing w:after="0" w:line="240" w:lineRule="auto"/>
        <w:rPr>
          <w:rFonts w:ascii="Times New Roman" w:eastAsia="Times New Roman" w:hAnsi="Times New Roman" w:cs="Times New Roman"/>
          <w:b/>
          <w:bCs/>
          <w:color w:val="626060"/>
          <w:sz w:val="18"/>
          <w:szCs w:val="18"/>
          <w:lang w:eastAsia="sl-SI"/>
        </w:rPr>
      </w:pPr>
    </w:p>
    <w:p w:rsidR="00477918" w:rsidRPr="001E299A" w:rsidRDefault="00711FD3" w:rsidP="00711FD3">
      <w:pPr>
        <w:spacing w:after="0" w:line="240" w:lineRule="auto"/>
        <w:rPr>
          <w:rFonts w:ascii="Times New Roman" w:eastAsia="Times New Roman" w:hAnsi="Times New Roman" w:cs="Times New Roman"/>
          <w:b/>
          <w:bCs/>
          <w:color w:val="626060"/>
          <w:sz w:val="18"/>
          <w:szCs w:val="18"/>
          <w:lang w:eastAsia="sl-SI"/>
        </w:rPr>
      </w:pPr>
      <w:r w:rsidRPr="001E299A">
        <w:rPr>
          <w:rFonts w:ascii="Times New Roman" w:eastAsia="Times New Roman" w:hAnsi="Times New Roman" w:cs="Times New Roman"/>
          <w:b/>
          <w:bCs/>
          <w:color w:val="626060"/>
          <w:sz w:val="18"/>
          <w:szCs w:val="18"/>
          <w:lang w:eastAsia="sl-SI"/>
        </w:rPr>
        <w:t>Zakon o dimnikarskih storitvah (Uradni list RS, št.</w:t>
      </w:r>
      <w:r w:rsidRPr="001E299A">
        <w:rPr>
          <w:rFonts w:ascii="Times New Roman" w:eastAsia="Times New Roman" w:hAnsi="Times New Roman" w:cs="Times New Roman"/>
          <w:b/>
          <w:bCs/>
          <w:color w:val="626060"/>
          <w:sz w:val="18"/>
          <w:lang w:eastAsia="sl-SI"/>
        </w:rPr>
        <w:t> </w:t>
      </w:r>
      <w:hyperlink r:id="rId6" w:tgtFrame="_blank" w:tooltip="Zakon o dimnikarskih storitvah (ZDimS)" w:history="1">
        <w:r w:rsidRPr="001E299A">
          <w:rPr>
            <w:rFonts w:ascii="Times New Roman" w:eastAsia="Times New Roman" w:hAnsi="Times New Roman" w:cs="Times New Roman"/>
            <w:b/>
            <w:bCs/>
            <w:color w:val="626060"/>
            <w:sz w:val="18"/>
            <w:u w:val="single"/>
            <w:lang w:eastAsia="sl-SI"/>
          </w:rPr>
          <w:t>68/16</w:t>
        </w:r>
      </w:hyperlink>
    </w:p>
    <w:p w:rsidR="00477918" w:rsidRPr="001E299A" w:rsidRDefault="00477918" w:rsidP="007D7E50">
      <w:pPr>
        <w:pStyle w:val="len"/>
        <w:shd w:val="clear" w:color="auto" w:fill="FFFFFF"/>
        <w:spacing w:before="480" w:beforeAutospacing="0" w:after="0" w:afterAutospacing="0"/>
        <w:rPr>
          <w:b/>
          <w:bCs/>
          <w:sz w:val="22"/>
          <w:szCs w:val="22"/>
        </w:rPr>
      </w:pPr>
      <w:r w:rsidRPr="001E299A">
        <w:rPr>
          <w:b/>
          <w:bCs/>
          <w:sz w:val="22"/>
          <w:szCs w:val="22"/>
        </w:rPr>
        <w:t>19. člen</w:t>
      </w:r>
    </w:p>
    <w:p w:rsidR="00477918" w:rsidRPr="001E299A" w:rsidRDefault="00477918" w:rsidP="007D7E50">
      <w:pPr>
        <w:pStyle w:val="lennaslov"/>
        <w:shd w:val="clear" w:color="auto" w:fill="FFFFFF"/>
        <w:spacing w:before="0" w:beforeAutospacing="0" w:after="0" w:afterAutospacing="0"/>
        <w:rPr>
          <w:b/>
          <w:bCs/>
          <w:sz w:val="22"/>
          <w:szCs w:val="22"/>
        </w:rPr>
      </w:pPr>
      <w:r w:rsidRPr="001E299A">
        <w:rPr>
          <w:b/>
          <w:bCs/>
          <w:sz w:val="22"/>
          <w:szCs w:val="22"/>
        </w:rPr>
        <w:t>(oblikovanje cene)</w:t>
      </w:r>
    </w:p>
    <w:p w:rsidR="00477918" w:rsidRPr="001E299A" w:rsidRDefault="00477918" w:rsidP="007D7E50">
      <w:pPr>
        <w:pStyle w:val="odstavek"/>
        <w:shd w:val="clear" w:color="auto" w:fill="FFFFFF"/>
        <w:spacing w:before="240" w:beforeAutospacing="0" w:after="0" w:afterAutospacing="0"/>
        <w:ind w:firstLine="1021"/>
        <w:rPr>
          <w:sz w:val="22"/>
          <w:szCs w:val="22"/>
        </w:rPr>
      </w:pPr>
      <w:r w:rsidRPr="001E299A">
        <w:rPr>
          <w:sz w:val="22"/>
          <w:szCs w:val="22"/>
        </w:rPr>
        <w:t>(1) Znesek za izvedene dimnikarske storitve plača uporabnik dimnikarskih storitev v skladu s tem zakonom.</w:t>
      </w:r>
    </w:p>
    <w:p w:rsidR="00477918" w:rsidRPr="001E299A" w:rsidRDefault="00477918" w:rsidP="007D7E50">
      <w:pPr>
        <w:pStyle w:val="odstavek"/>
        <w:shd w:val="clear" w:color="auto" w:fill="FFFFFF"/>
        <w:spacing w:before="240" w:beforeAutospacing="0" w:after="0" w:afterAutospacing="0"/>
        <w:ind w:firstLine="1021"/>
        <w:rPr>
          <w:sz w:val="22"/>
          <w:szCs w:val="22"/>
        </w:rPr>
      </w:pPr>
      <w:r w:rsidRPr="001E299A">
        <w:rPr>
          <w:sz w:val="22"/>
          <w:szCs w:val="22"/>
        </w:rPr>
        <w:t>(2) Znesek se oblikuje kot zmnožek cene izvajanja dimnikarskih storitev in normativnega števila časovnih enot dela dimnikarskih storitev.</w:t>
      </w:r>
    </w:p>
    <w:p w:rsidR="00477918" w:rsidRPr="001E299A" w:rsidRDefault="00477918" w:rsidP="007D7E50">
      <w:pPr>
        <w:pStyle w:val="odstavek"/>
        <w:shd w:val="clear" w:color="auto" w:fill="FFFFFF"/>
        <w:spacing w:before="240" w:beforeAutospacing="0" w:after="0" w:afterAutospacing="0"/>
        <w:ind w:firstLine="1021"/>
        <w:rPr>
          <w:sz w:val="22"/>
          <w:szCs w:val="22"/>
        </w:rPr>
      </w:pPr>
      <w:r w:rsidRPr="001E299A">
        <w:rPr>
          <w:sz w:val="22"/>
          <w:szCs w:val="22"/>
        </w:rPr>
        <w:lastRenderedPageBreak/>
        <w:t>(3) Znesek iz prejšnjega odstavka vključuje tudi potne stroške, kadar je uporabnik dimnikarskih storitev od sedeža dimnikarske družbe oddaljen 25 kilometrov ali manj. Kadar je uporabnik dimnikarskih storitev oddaljen več kot 25 kilometrov od sedeža dimnikarske družbe, se znesku iz prejšnjega odstavka lahko prištejejo potni stroški za vsak kilometer nad 25 kilometrov, ki niso vključeni v ceno storitve iz prvega stavka tega odstavka.</w:t>
      </w:r>
    </w:p>
    <w:p w:rsidR="00477918" w:rsidRPr="001E299A" w:rsidRDefault="00477918" w:rsidP="007D7E50">
      <w:pPr>
        <w:pStyle w:val="odstavek"/>
        <w:shd w:val="clear" w:color="auto" w:fill="FFFFFF"/>
        <w:spacing w:before="240" w:beforeAutospacing="0" w:after="0" w:afterAutospacing="0"/>
        <w:ind w:firstLine="1021"/>
        <w:rPr>
          <w:sz w:val="22"/>
          <w:szCs w:val="22"/>
        </w:rPr>
      </w:pPr>
      <w:r w:rsidRPr="001E299A">
        <w:rPr>
          <w:sz w:val="22"/>
          <w:szCs w:val="22"/>
        </w:rPr>
        <w:t>(4) Cena iz drugega odstavka tega člena se določi v eurih na časovno enoto dela.</w:t>
      </w:r>
    </w:p>
    <w:p w:rsidR="00477918" w:rsidRPr="001E299A" w:rsidRDefault="00477918" w:rsidP="007D7E50">
      <w:pPr>
        <w:pStyle w:val="odstavek"/>
        <w:shd w:val="clear" w:color="auto" w:fill="FFFFFF"/>
        <w:spacing w:before="240" w:beforeAutospacing="0" w:after="0" w:afterAutospacing="0"/>
        <w:ind w:firstLine="1021"/>
        <w:rPr>
          <w:sz w:val="22"/>
          <w:szCs w:val="22"/>
        </w:rPr>
      </w:pPr>
      <w:r w:rsidRPr="001E299A">
        <w:rPr>
          <w:sz w:val="22"/>
          <w:szCs w:val="22"/>
        </w:rPr>
        <w:t>(5) Najvišjo dovoljeno ceno izvajanja dimnikarskih storitev iz drugega odstavka tega člena določi vlada s sklepom. Višino cene vlada določi ob upoštevanju cen storitev dejavnosti, za katere je predpisana podobna raven strokovne izobrazbe.</w:t>
      </w:r>
    </w:p>
    <w:p w:rsidR="00477918" w:rsidRPr="001E299A" w:rsidRDefault="00477918" w:rsidP="007D7E50">
      <w:pPr>
        <w:pStyle w:val="odstavek"/>
        <w:shd w:val="clear" w:color="auto" w:fill="FFFFFF"/>
        <w:spacing w:before="240" w:beforeAutospacing="0" w:after="0" w:afterAutospacing="0"/>
        <w:ind w:firstLine="1021"/>
        <w:rPr>
          <w:sz w:val="22"/>
          <w:szCs w:val="22"/>
        </w:rPr>
      </w:pPr>
      <w:r w:rsidRPr="001E299A">
        <w:rPr>
          <w:sz w:val="22"/>
          <w:szCs w:val="22"/>
        </w:rPr>
        <w:t>(6) Dimnikarska družba mora imeti cenik, ki je javno objavljen, z vsebino, določeno v predpisu iz sedmega odstavka tega člena.</w:t>
      </w:r>
    </w:p>
    <w:p w:rsidR="00477918" w:rsidRPr="001E299A" w:rsidRDefault="00477918" w:rsidP="007D7E50">
      <w:pPr>
        <w:pStyle w:val="odstavek"/>
        <w:shd w:val="clear" w:color="auto" w:fill="FFFFFF"/>
        <w:spacing w:before="240" w:beforeAutospacing="0" w:after="0" w:afterAutospacing="0"/>
        <w:ind w:firstLine="1021"/>
        <w:rPr>
          <w:sz w:val="22"/>
          <w:szCs w:val="22"/>
        </w:rPr>
      </w:pPr>
      <w:r w:rsidRPr="001E299A">
        <w:rPr>
          <w:sz w:val="22"/>
          <w:szCs w:val="22"/>
        </w:rPr>
        <w:t>(7) Minister predpiše časovne normative za posamezne storitve in sklope dimnikarskih storitev iz drugega odstavka tega člena in podrobnejšo vsebino cenika ter višino potnih stroškov.</w:t>
      </w:r>
    </w:p>
    <w:p w:rsidR="007C789D" w:rsidRPr="001E299A" w:rsidRDefault="007C789D" w:rsidP="007D7E50">
      <w:pPr>
        <w:pStyle w:val="odstavek"/>
        <w:shd w:val="clear" w:color="auto" w:fill="FFFFFF"/>
        <w:spacing w:before="240" w:beforeAutospacing="0" w:after="0" w:afterAutospacing="0"/>
        <w:ind w:firstLine="1021"/>
        <w:rPr>
          <w:sz w:val="22"/>
          <w:szCs w:val="22"/>
        </w:rPr>
      </w:pPr>
    </w:p>
    <w:p w:rsidR="007C789D" w:rsidRPr="001E299A" w:rsidRDefault="007C789D" w:rsidP="007C789D">
      <w:pPr>
        <w:pStyle w:val="len"/>
        <w:shd w:val="clear" w:color="auto" w:fill="FFFFFF"/>
        <w:spacing w:before="480" w:beforeAutospacing="0" w:after="0" w:afterAutospacing="0"/>
        <w:rPr>
          <w:b/>
          <w:bCs/>
          <w:sz w:val="22"/>
          <w:szCs w:val="22"/>
        </w:rPr>
      </w:pPr>
      <w:r w:rsidRPr="001E299A">
        <w:rPr>
          <w:b/>
          <w:bCs/>
          <w:sz w:val="22"/>
          <w:szCs w:val="22"/>
        </w:rPr>
        <w:t>27. člen</w:t>
      </w:r>
    </w:p>
    <w:p w:rsidR="007C789D" w:rsidRPr="001E299A" w:rsidRDefault="007C789D" w:rsidP="007C789D">
      <w:pPr>
        <w:pStyle w:val="lennaslov"/>
        <w:shd w:val="clear" w:color="auto" w:fill="FFFFFF"/>
        <w:spacing w:before="0" w:beforeAutospacing="0" w:after="0" w:afterAutospacing="0"/>
        <w:rPr>
          <w:b/>
          <w:bCs/>
          <w:sz w:val="22"/>
          <w:szCs w:val="22"/>
        </w:rPr>
      </w:pPr>
      <w:r w:rsidRPr="001E299A">
        <w:rPr>
          <w:b/>
          <w:bCs/>
          <w:sz w:val="22"/>
          <w:szCs w:val="22"/>
        </w:rPr>
        <w:t>(inšpekcijski nadzor)</w:t>
      </w:r>
    </w:p>
    <w:p w:rsidR="007C789D" w:rsidRPr="001E299A" w:rsidRDefault="007C789D" w:rsidP="007C789D">
      <w:pPr>
        <w:pStyle w:val="odstavek"/>
        <w:shd w:val="clear" w:color="auto" w:fill="FFFFFF"/>
        <w:spacing w:before="240" w:beforeAutospacing="0" w:after="0" w:afterAutospacing="0"/>
        <w:ind w:firstLine="1021"/>
        <w:rPr>
          <w:sz w:val="22"/>
          <w:szCs w:val="22"/>
        </w:rPr>
      </w:pPr>
      <w:r w:rsidRPr="001E299A">
        <w:rPr>
          <w:sz w:val="22"/>
          <w:szCs w:val="22"/>
        </w:rPr>
        <w:t>(1) Nadzor nad izvajanjem določb tega zakona in na njegovi podlagi izdanih predpisov, razen določb iz drugega in tretjega odstavka tega člena, opravlja inšpekcija, pristojna za okolje.</w:t>
      </w:r>
    </w:p>
    <w:p w:rsidR="007C789D" w:rsidRPr="001E299A" w:rsidRDefault="007C789D" w:rsidP="007C789D">
      <w:pPr>
        <w:pStyle w:val="odstavek"/>
        <w:shd w:val="clear" w:color="auto" w:fill="FFFFFF"/>
        <w:spacing w:before="240" w:beforeAutospacing="0" w:after="0" w:afterAutospacing="0"/>
        <w:ind w:firstLine="1021"/>
        <w:rPr>
          <w:sz w:val="22"/>
          <w:szCs w:val="22"/>
        </w:rPr>
      </w:pPr>
      <w:r w:rsidRPr="001E299A">
        <w:rPr>
          <w:sz w:val="22"/>
          <w:szCs w:val="22"/>
        </w:rPr>
        <w:t>(2) Inšpekcijski nadzor nad izvajanjem določb tega zakona in na njegovi podlagi izdanih predpisov, ki se nanašajo na ceno dimnikarskih storitev in na nadzor nad izpolnjevanjem zahtev iz prvega odstavka prejšnjega člena, opravlja inšpekcija, pristojna za trg.</w:t>
      </w:r>
    </w:p>
    <w:p w:rsidR="007C789D" w:rsidRPr="001E299A" w:rsidRDefault="007C789D" w:rsidP="007C789D">
      <w:pPr>
        <w:pStyle w:val="odstavek"/>
        <w:shd w:val="clear" w:color="auto" w:fill="FFFFFF"/>
        <w:spacing w:before="240" w:beforeAutospacing="0" w:after="0" w:afterAutospacing="0"/>
        <w:ind w:firstLine="1021"/>
        <w:rPr>
          <w:sz w:val="22"/>
          <w:szCs w:val="22"/>
        </w:rPr>
      </w:pPr>
      <w:r w:rsidRPr="001E299A">
        <w:rPr>
          <w:sz w:val="22"/>
          <w:szCs w:val="22"/>
        </w:rPr>
        <w:t>(3) Inšpekcijski nadzor nad izvajanjem določb tega zakona in na njegovi podlagi izdanih predpisov, ki se nanašajo na zmanjšano varstvo pred požarom in s tem povezano odpravo pomanjkljivosti, opravlja inšpekcija, pristojna za varstvo pred naravnimi in drugimi nesrečami.</w:t>
      </w:r>
    </w:p>
    <w:p w:rsidR="007C789D" w:rsidRPr="001E299A" w:rsidRDefault="007C789D" w:rsidP="007C789D">
      <w:pPr>
        <w:pStyle w:val="odstavek"/>
        <w:shd w:val="clear" w:color="auto" w:fill="FFFFFF"/>
        <w:spacing w:before="240" w:beforeAutospacing="0" w:after="0" w:afterAutospacing="0"/>
        <w:ind w:firstLine="1021"/>
        <w:rPr>
          <w:sz w:val="22"/>
          <w:szCs w:val="22"/>
        </w:rPr>
      </w:pPr>
      <w:r w:rsidRPr="001E299A">
        <w:rPr>
          <w:sz w:val="22"/>
          <w:szCs w:val="22"/>
        </w:rPr>
        <w:t>(4) V primeru neposredne nevarnosti za življenje ljudi ali premoženje večje vrednosti, lahko inšpektor odredi prepoved uporabe kurilne naprave na osnovi prijave dimnikarske družbe, brez predhodnega zaslišanja uporabnika kurilne naprave.</w:t>
      </w:r>
    </w:p>
    <w:p w:rsidR="007C789D" w:rsidRPr="001E299A" w:rsidRDefault="007C789D" w:rsidP="007C789D">
      <w:pPr>
        <w:pStyle w:val="odstavek"/>
        <w:shd w:val="clear" w:color="auto" w:fill="FFFFFF"/>
        <w:spacing w:before="240" w:beforeAutospacing="0" w:after="0" w:afterAutospacing="0"/>
        <w:ind w:firstLine="1021"/>
        <w:rPr>
          <w:sz w:val="22"/>
          <w:szCs w:val="22"/>
        </w:rPr>
      </w:pPr>
      <w:r w:rsidRPr="001E299A">
        <w:rPr>
          <w:sz w:val="22"/>
          <w:szCs w:val="22"/>
        </w:rPr>
        <w:t>(5) V predpisu iz 13. člena tega zakona se podrobneje določi razmejitev izvajanja nadzora inšpekcij iz prvega do tretjega odstavka tega člena nad izpolnjevanjem obveznosti dimnikarskih družb, dimnikarjev in uporabnikov dimnikarskih storitev.</w:t>
      </w:r>
    </w:p>
    <w:p w:rsidR="007C789D" w:rsidRPr="001E299A" w:rsidRDefault="007C789D" w:rsidP="007D7E50">
      <w:pPr>
        <w:pStyle w:val="odstavek"/>
        <w:shd w:val="clear" w:color="auto" w:fill="FFFFFF"/>
        <w:spacing w:before="240" w:beforeAutospacing="0" w:after="0" w:afterAutospacing="0"/>
        <w:ind w:firstLine="1021"/>
        <w:rPr>
          <w:sz w:val="22"/>
          <w:szCs w:val="22"/>
        </w:rPr>
      </w:pPr>
    </w:p>
    <w:p w:rsidR="00477918" w:rsidRPr="001E299A" w:rsidRDefault="00477918">
      <w:pPr>
        <w:rPr>
          <w:rFonts w:ascii="Times New Roman" w:hAnsi="Times New Roman" w:cs="Times New Roman"/>
        </w:rPr>
      </w:pPr>
    </w:p>
    <w:sectPr w:rsidR="00477918" w:rsidRPr="001E299A" w:rsidSect="002506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673E5"/>
    <w:rsid w:val="0000348C"/>
    <w:rsid w:val="0002216C"/>
    <w:rsid w:val="000F3488"/>
    <w:rsid w:val="000F58BB"/>
    <w:rsid w:val="00105299"/>
    <w:rsid w:val="001E299A"/>
    <w:rsid w:val="002506AE"/>
    <w:rsid w:val="002A739A"/>
    <w:rsid w:val="0044335E"/>
    <w:rsid w:val="00477918"/>
    <w:rsid w:val="005E65E5"/>
    <w:rsid w:val="005F6F35"/>
    <w:rsid w:val="00683F4F"/>
    <w:rsid w:val="00711FD3"/>
    <w:rsid w:val="007C45BE"/>
    <w:rsid w:val="007C789D"/>
    <w:rsid w:val="007D7E50"/>
    <w:rsid w:val="007E5F13"/>
    <w:rsid w:val="00802EFD"/>
    <w:rsid w:val="008076FF"/>
    <w:rsid w:val="00811682"/>
    <w:rsid w:val="00840E64"/>
    <w:rsid w:val="00941B27"/>
    <w:rsid w:val="00947095"/>
    <w:rsid w:val="009872B2"/>
    <w:rsid w:val="00991CBF"/>
    <w:rsid w:val="00A334D5"/>
    <w:rsid w:val="00A5128E"/>
    <w:rsid w:val="00A673E5"/>
    <w:rsid w:val="00B81FD6"/>
    <w:rsid w:val="00BA4671"/>
    <w:rsid w:val="00C152F5"/>
    <w:rsid w:val="00C26474"/>
    <w:rsid w:val="00C874C3"/>
    <w:rsid w:val="00DC2370"/>
    <w:rsid w:val="00E40EAE"/>
    <w:rsid w:val="00ED4CB1"/>
    <w:rsid w:val="00F17FA1"/>
    <w:rsid w:val="00FC502A"/>
    <w:rsid w:val="00FF3EEA"/>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40E64"/>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len">
    <w:name w:val="len"/>
    <w:basedOn w:val="Navaden"/>
    <w:rsid w:val="0047791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47791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47791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rsid w:val="00711FD3"/>
  </w:style>
  <w:style w:type="character" w:styleId="Hiperpovezava">
    <w:name w:val="Hyperlink"/>
    <w:basedOn w:val="Privzetapisavaodstavka"/>
    <w:uiPriority w:val="99"/>
    <w:semiHidden/>
    <w:unhideWhenUsed/>
    <w:rsid w:val="00711FD3"/>
    <w:rPr>
      <w:color w:val="0000FF"/>
      <w:u w:val="single"/>
    </w:rPr>
  </w:style>
  <w:style w:type="table" w:styleId="Tabela-mrea">
    <w:name w:val="Table Grid"/>
    <w:basedOn w:val="Navadnatabela"/>
    <w:uiPriority w:val="59"/>
    <w:rsid w:val="00811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8074363">
      <w:bodyDiv w:val="1"/>
      <w:marLeft w:val="0"/>
      <w:marRight w:val="0"/>
      <w:marTop w:val="0"/>
      <w:marBottom w:val="0"/>
      <w:divBdr>
        <w:top w:val="none" w:sz="0" w:space="0" w:color="auto"/>
        <w:left w:val="none" w:sz="0" w:space="0" w:color="auto"/>
        <w:bottom w:val="none" w:sz="0" w:space="0" w:color="auto"/>
        <w:right w:val="none" w:sz="0" w:space="0" w:color="auto"/>
      </w:divBdr>
    </w:div>
    <w:div w:id="1329945186">
      <w:bodyDiv w:val="1"/>
      <w:marLeft w:val="0"/>
      <w:marRight w:val="0"/>
      <w:marTop w:val="0"/>
      <w:marBottom w:val="0"/>
      <w:divBdr>
        <w:top w:val="none" w:sz="0" w:space="0" w:color="auto"/>
        <w:left w:val="none" w:sz="0" w:space="0" w:color="auto"/>
        <w:bottom w:val="none" w:sz="0" w:space="0" w:color="auto"/>
        <w:right w:val="none" w:sz="0" w:space="0" w:color="auto"/>
      </w:divBdr>
    </w:div>
    <w:div w:id="133178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radni-list.si/1/objava.jsp?sop=2016-01-2926" TargetMode="External"/><Relationship Id="rId5" Type="http://schemas.openxmlformats.org/officeDocument/2006/relationships/hyperlink" Target="https://www.uradni-list.si/1/index?edition=201057" TargetMode="External"/><Relationship Id="rId4" Type="http://schemas.openxmlformats.org/officeDocument/2006/relationships/hyperlink" Target="https://www.uradni-list.si/1/index?edition=20105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6493</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JANKO</cp:lastModifiedBy>
  <cp:revision>2</cp:revision>
  <dcterms:created xsi:type="dcterms:W3CDTF">2017-04-06T15:31:00Z</dcterms:created>
  <dcterms:modified xsi:type="dcterms:W3CDTF">2017-04-06T15:31:00Z</dcterms:modified>
</cp:coreProperties>
</file>